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5D2CE" w14:textId="0BBE6E62" w:rsidR="003E6A8E" w:rsidRDefault="00F807CD">
      <w:pPr>
        <w:rPr>
          <w:rFonts w:ascii="方正兰亭中黑简体" w:eastAsia="方正兰亭中黑简体"/>
        </w:rPr>
      </w:pPr>
      <w:r>
        <w:rPr>
          <w:rFonts w:ascii="宋体" w:hAnsi="宋体"/>
          <w:b/>
          <w:noProof/>
          <w:sz w:val="36"/>
          <w:szCs w:val="36"/>
        </w:rPr>
        <w:drawing>
          <wp:anchor distT="0" distB="0" distL="114300" distR="114300" simplePos="0" relativeHeight="251680768" behindDoc="1" locked="0" layoutInCell="1" allowOverlap="1" wp14:anchorId="51EAF0CF" wp14:editId="7FCCA912">
            <wp:simplePos x="0" y="0"/>
            <wp:positionH relativeFrom="column">
              <wp:posOffset>-911225</wp:posOffset>
            </wp:positionH>
            <wp:positionV relativeFrom="paragraph">
              <wp:posOffset>-882650</wp:posOffset>
            </wp:positionV>
            <wp:extent cx="7559040" cy="10689590"/>
            <wp:effectExtent l="0" t="0" r="381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9040" cy="1068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FA8">
        <w:rPr>
          <w:rFonts w:ascii="宋体" w:hAnsi="宋体"/>
          <w:b/>
          <w:noProof/>
          <w:sz w:val="36"/>
          <w:szCs w:val="36"/>
        </w:rPr>
        <mc:AlternateContent>
          <mc:Choice Requires="wps">
            <w:drawing>
              <wp:anchor distT="0" distB="0" distL="114300" distR="114300" simplePos="0" relativeHeight="251681792" behindDoc="0" locked="0" layoutInCell="1" allowOverlap="1" wp14:anchorId="7E1111FA" wp14:editId="239D6DFC">
                <wp:simplePos x="0" y="0"/>
                <wp:positionH relativeFrom="column">
                  <wp:posOffset>4733925</wp:posOffset>
                </wp:positionH>
                <wp:positionV relativeFrom="paragraph">
                  <wp:posOffset>109855</wp:posOffset>
                </wp:positionV>
                <wp:extent cx="1760220" cy="61468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614680"/>
                        </a:xfrm>
                        <a:prstGeom prst="rect">
                          <a:avLst/>
                        </a:prstGeom>
                        <a:noFill/>
                        <a:ln>
                          <a:noFill/>
                        </a:ln>
                      </wps:spPr>
                      <wps:txbx>
                        <w:txbxContent>
                          <w:p w14:paraId="5B41A581" w14:textId="60C054E4" w:rsidR="00105D63" w:rsidRPr="0031268E" w:rsidRDefault="00105D63" w:rsidP="00995F5C">
                            <w:pPr>
                              <w:jc w:val="right"/>
                              <w:rPr>
                                <w:rFonts w:ascii="思源黑体 CN Bold" w:eastAsia="思源黑体 CN Bold" w:hAnsi="思源黑体 CN Bold"/>
                                <w:b/>
                                <w:bCs/>
                                <w:color w:val="595959" w:themeColor="text1" w:themeTint="A6"/>
                                <w:sz w:val="52"/>
                                <w:szCs w:val="72"/>
                              </w:rPr>
                            </w:pPr>
                            <w:r w:rsidRPr="0031268E">
                              <w:rPr>
                                <w:rFonts w:ascii="思源黑体 CN Bold" w:eastAsia="思源黑体 CN Bold" w:hAnsi="思源黑体 CN Bold" w:hint="eastAsia"/>
                                <w:b/>
                                <w:color w:val="595959" w:themeColor="text1" w:themeTint="A6"/>
                                <w:sz w:val="32"/>
                                <w:szCs w:val="36"/>
                              </w:rPr>
                              <w:t>2</w:t>
                            </w:r>
                            <w:r w:rsidRPr="0031268E">
                              <w:rPr>
                                <w:rFonts w:ascii="思源黑体 CN Bold" w:eastAsia="思源黑体 CN Bold" w:hAnsi="思源黑体 CN Bold"/>
                                <w:b/>
                                <w:color w:val="595959" w:themeColor="text1" w:themeTint="A6"/>
                                <w:sz w:val="32"/>
                                <w:szCs w:val="36"/>
                              </w:rPr>
                              <w:t>023</w:t>
                            </w:r>
                            <w:r w:rsidRPr="0031268E">
                              <w:rPr>
                                <w:rFonts w:ascii="思源黑体 CN Bold" w:eastAsia="思源黑体 CN Bold" w:hAnsi="思源黑体 CN Bold" w:hint="eastAsia"/>
                                <w:b/>
                                <w:color w:val="595959" w:themeColor="text1" w:themeTint="A6"/>
                                <w:sz w:val="32"/>
                                <w:szCs w:val="36"/>
                              </w:rPr>
                              <w:t>年</w:t>
                            </w:r>
                            <w:r>
                              <w:rPr>
                                <w:rFonts w:ascii="思源黑体 CN Bold" w:eastAsia="思源黑体 CN Bold" w:hAnsi="思源黑体 CN Bold" w:hint="eastAsia"/>
                                <w:b/>
                                <w:color w:val="595959" w:themeColor="text1" w:themeTint="A6"/>
                                <w:sz w:val="32"/>
                                <w:szCs w:val="36"/>
                              </w:rPr>
                              <w:t>2</w:t>
                            </w:r>
                            <w:r w:rsidRPr="0031268E">
                              <w:rPr>
                                <w:rFonts w:ascii="思源黑体 CN Bold" w:eastAsia="思源黑体 CN Bold" w:hAnsi="思源黑体 CN Bold" w:hint="eastAsia"/>
                                <w:b/>
                                <w:color w:val="595959" w:themeColor="text1" w:themeTint="A6"/>
                                <w:sz w:val="32"/>
                                <w:szCs w:val="36"/>
                              </w:rPr>
                              <w:t>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111FA" id="矩形 27" o:spid="_x0000_s1026" style="position:absolute;left:0;text-align:left;margin-left:372.75pt;margin-top:8.65pt;width:138.6pt;height:4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" filled="f" stroked="f">
                <v:textbox>
                  <w:txbxContent>
                    <w:p w14:paraId="5B41A581" w14:textId="60C054E4" w:rsidR="00105D63" w:rsidRPr="0031268E" w:rsidRDefault="00105D63" w:rsidP="00995F5C">
                      <w:pPr>
                        <w:jc w:val="right"/>
                        <w:rPr>
                          <w:rFonts w:ascii="思源黑体 CN Bold" w:eastAsia="思源黑体 CN Bold" w:hAnsi="思源黑体 CN Bold"/>
                          <w:b/>
                          <w:bCs/>
                          <w:color w:val="595959" w:themeColor="text1" w:themeTint="A6"/>
                          <w:sz w:val="52"/>
                          <w:szCs w:val="72"/>
                        </w:rPr>
                      </w:pPr>
                      <w:r w:rsidRPr="0031268E">
                        <w:rPr>
                          <w:rFonts w:ascii="思源黑体 CN Bold" w:eastAsia="思源黑体 CN Bold" w:hAnsi="思源黑体 CN Bold" w:hint="eastAsia"/>
                          <w:b/>
                          <w:color w:val="595959" w:themeColor="text1" w:themeTint="A6"/>
                          <w:sz w:val="32"/>
                          <w:szCs w:val="36"/>
                        </w:rPr>
                        <w:t>2</w:t>
                      </w:r>
                      <w:r w:rsidRPr="0031268E">
                        <w:rPr>
                          <w:rFonts w:ascii="思源黑体 CN Bold" w:eastAsia="思源黑体 CN Bold" w:hAnsi="思源黑体 CN Bold"/>
                          <w:b/>
                          <w:color w:val="595959" w:themeColor="text1" w:themeTint="A6"/>
                          <w:sz w:val="32"/>
                          <w:szCs w:val="36"/>
                        </w:rPr>
                        <w:t>023</w:t>
                      </w:r>
                      <w:r w:rsidRPr="0031268E">
                        <w:rPr>
                          <w:rFonts w:ascii="思源黑体 CN Bold" w:eastAsia="思源黑体 CN Bold" w:hAnsi="思源黑体 CN Bold" w:hint="eastAsia"/>
                          <w:b/>
                          <w:color w:val="595959" w:themeColor="text1" w:themeTint="A6"/>
                          <w:sz w:val="32"/>
                          <w:szCs w:val="36"/>
                        </w:rPr>
                        <w:t>年</w:t>
                      </w:r>
                      <w:r>
                        <w:rPr>
                          <w:rFonts w:ascii="思源黑体 CN Bold" w:eastAsia="思源黑体 CN Bold" w:hAnsi="思源黑体 CN Bold" w:hint="eastAsia"/>
                          <w:b/>
                          <w:color w:val="595959" w:themeColor="text1" w:themeTint="A6"/>
                          <w:sz w:val="32"/>
                          <w:szCs w:val="36"/>
                        </w:rPr>
                        <w:t>2</w:t>
                      </w:r>
                      <w:r w:rsidRPr="0031268E">
                        <w:rPr>
                          <w:rFonts w:ascii="思源黑体 CN Bold" w:eastAsia="思源黑体 CN Bold" w:hAnsi="思源黑体 CN Bold" w:hint="eastAsia"/>
                          <w:b/>
                          <w:color w:val="595959" w:themeColor="text1" w:themeTint="A6"/>
                          <w:sz w:val="32"/>
                          <w:szCs w:val="36"/>
                        </w:rPr>
                        <w:t>月</w:t>
                      </w:r>
                    </w:p>
                  </w:txbxContent>
                </v:textbox>
              </v:rect>
            </w:pict>
          </mc:Fallback>
        </mc:AlternateContent>
      </w:r>
    </w:p>
    <w:p w14:paraId="6AC4D59A" w14:textId="176841CE" w:rsidR="003E6A8E" w:rsidRDefault="00C31FA8">
      <w:pPr>
        <w:rPr>
          <w:rFonts w:ascii="方正兰亭中黑简体" w:eastAsia="方正兰亭中黑简体" w:hAnsi="微软雅黑"/>
          <w:b/>
        </w:rPr>
      </w:pPr>
      <w:r>
        <w:rPr>
          <w:rFonts w:ascii="宋体" w:hAnsi="宋体"/>
          <w:b/>
          <w:noProof/>
          <w:sz w:val="36"/>
          <w:szCs w:val="36"/>
        </w:rPr>
        <mc:AlternateContent>
          <mc:Choice Requires="wps">
            <w:drawing>
              <wp:anchor distT="0" distB="0" distL="114300" distR="114300" simplePos="0" relativeHeight="251682816" behindDoc="0" locked="0" layoutInCell="1" allowOverlap="1" wp14:anchorId="695B561E" wp14:editId="17088A9F">
                <wp:simplePos x="0" y="0"/>
                <wp:positionH relativeFrom="column">
                  <wp:posOffset>-513715</wp:posOffset>
                </wp:positionH>
                <wp:positionV relativeFrom="paragraph">
                  <wp:posOffset>180340</wp:posOffset>
                </wp:positionV>
                <wp:extent cx="5502275" cy="158877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1588770"/>
                        </a:xfrm>
                        <a:prstGeom prst="rect">
                          <a:avLst/>
                        </a:prstGeom>
                        <a:noFill/>
                        <a:ln>
                          <a:noFill/>
                        </a:ln>
                      </wps:spPr>
                      <wps:txbx>
                        <w:txbxContent>
                          <w:p w14:paraId="26B6FC6D" w14:textId="77777777" w:rsidR="00105D63" w:rsidRPr="008F4F16" w:rsidRDefault="00105D63" w:rsidP="00995F5C">
                            <w:pPr>
                              <w:spacing w:line="1100" w:lineRule="exact"/>
                              <w:jc w:val="left"/>
                              <w:rPr>
                                <w:rFonts w:ascii="思源黑体 CN Bold" w:eastAsia="思源黑体 CN Bold" w:hAnsi="思源黑体 CN Bold"/>
                                <w:b/>
                                <w:color w:val="595959" w:themeColor="text1" w:themeTint="A6"/>
                                <w:sz w:val="110"/>
                                <w:szCs w:val="110"/>
                              </w:rPr>
                            </w:pPr>
                            <w:r w:rsidRPr="008F4F16">
                              <w:rPr>
                                <w:rFonts w:ascii="思源黑体 CN Bold" w:eastAsia="思源黑体 CN Bold" w:hAnsi="思源黑体 CN Bold" w:hint="eastAsia"/>
                                <w:b/>
                                <w:color w:val="595959" w:themeColor="text1" w:themeTint="A6"/>
                                <w:sz w:val="110"/>
                                <w:szCs w:val="110"/>
                              </w:rPr>
                              <w:t>中国房地产</w:t>
                            </w:r>
                          </w:p>
                          <w:p w14:paraId="54FEB7B0" w14:textId="77777777" w:rsidR="00105D63" w:rsidRPr="008F4F16" w:rsidRDefault="00105D63" w:rsidP="00995F5C">
                            <w:pPr>
                              <w:spacing w:line="1100" w:lineRule="exact"/>
                              <w:jc w:val="left"/>
                              <w:rPr>
                                <w:rFonts w:ascii="思源黑体 CN Bold" w:eastAsia="思源黑体 CN Bold" w:hAnsi="思源黑体 CN Bold"/>
                                <w:b/>
                                <w:color w:val="595959" w:themeColor="text1" w:themeTint="A6"/>
                                <w:sz w:val="110"/>
                                <w:szCs w:val="110"/>
                              </w:rPr>
                            </w:pPr>
                            <w:r w:rsidRPr="008E5AA1">
                              <w:rPr>
                                <w:rFonts w:ascii="思源黑体 CN Bold" w:eastAsia="思源黑体 CN Bold" w:hAnsi="思源黑体 CN Bold" w:hint="eastAsia"/>
                                <w:b/>
                                <w:color w:val="595959" w:themeColor="text1" w:themeTint="A6"/>
                                <w:sz w:val="110"/>
                                <w:szCs w:val="110"/>
                              </w:rPr>
                              <w:t>深度研究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561E" id="矩形 28" o:spid="_x0000_s1027" style="position:absolute;left:0;text-align:left;margin-left:-40.45pt;margin-top:14.2pt;width:433.25pt;height:1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" filled="f" stroked="f">
                <v:textbox>
                  <w:txbxContent>
                    <w:p w14:paraId="26B6FC6D" w14:textId="77777777" w:rsidR="00105D63" w:rsidRPr="008F4F16" w:rsidRDefault="00105D63" w:rsidP="00995F5C">
                      <w:pPr>
                        <w:spacing w:line="1100" w:lineRule="exact"/>
                        <w:jc w:val="left"/>
                        <w:rPr>
                          <w:rFonts w:ascii="思源黑体 CN Bold" w:eastAsia="思源黑体 CN Bold" w:hAnsi="思源黑体 CN Bold"/>
                          <w:b/>
                          <w:color w:val="595959" w:themeColor="text1" w:themeTint="A6"/>
                          <w:sz w:val="110"/>
                          <w:szCs w:val="110"/>
                        </w:rPr>
                      </w:pPr>
                      <w:r w:rsidRPr="008F4F16">
                        <w:rPr>
                          <w:rFonts w:ascii="思源黑体 CN Bold" w:eastAsia="思源黑体 CN Bold" w:hAnsi="思源黑体 CN Bold" w:hint="eastAsia"/>
                          <w:b/>
                          <w:color w:val="595959" w:themeColor="text1" w:themeTint="A6"/>
                          <w:sz w:val="110"/>
                          <w:szCs w:val="110"/>
                        </w:rPr>
                        <w:t>中国房地产</w:t>
                      </w:r>
                    </w:p>
                    <w:p w14:paraId="54FEB7B0" w14:textId="77777777" w:rsidR="00105D63" w:rsidRPr="008F4F16" w:rsidRDefault="00105D63" w:rsidP="00995F5C">
                      <w:pPr>
                        <w:spacing w:line="1100" w:lineRule="exact"/>
                        <w:jc w:val="left"/>
                        <w:rPr>
                          <w:rFonts w:ascii="思源黑体 CN Bold" w:eastAsia="思源黑体 CN Bold" w:hAnsi="思源黑体 CN Bold"/>
                          <w:b/>
                          <w:color w:val="595959" w:themeColor="text1" w:themeTint="A6"/>
                          <w:sz w:val="110"/>
                          <w:szCs w:val="110"/>
                        </w:rPr>
                      </w:pPr>
                      <w:r w:rsidRPr="008E5AA1">
                        <w:rPr>
                          <w:rFonts w:ascii="思源黑体 CN Bold" w:eastAsia="思源黑体 CN Bold" w:hAnsi="思源黑体 CN Bold" w:hint="eastAsia"/>
                          <w:b/>
                          <w:color w:val="595959" w:themeColor="text1" w:themeTint="A6"/>
                          <w:sz w:val="110"/>
                          <w:szCs w:val="110"/>
                        </w:rPr>
                        <w:t>深度研究</w:t>
                      </w:r>
                    </w:p>
                  </w:txbxContent>
                </v:textbox>
              </v:rect>
            </w:pict>
          </mc:Fallback>
        </mc:AlternateContent>
      </w:r>
      <w:r w:rsidR="00345E73">
        <w:rPr>
          <w:rFonts w:ascii="方正兰亭中黑简体" w:eastAsia="方正兰亭中黑简体" w:hAnsi="微软雅黑"/>
          <w:b/>
          <w:noProof/>
          <w:szCs w:val="21"/>
        </w:rPr>
        <mc:AlternateContent>
          <mc:Choice Requires="wps">
            <w:drawing>
              <wp:anchor distT="0" distB="0" distL="114300" distR="114300" simplePos="0" relativeHeight="251673600" behindDoc="0" locked="0" layoutInCell="1" allowOverlap="1" wp14:anchorId="16D9DA0C" wp14:editId="4A11F968">
                <wp:simplePos x="0" y="0"/>
                <wp:positionH relativeFrom="column">
                  <wp:posOffset>-417830</wp:posOffset>
                </wp:positionH>
                <wp:positionV relativeFrom="paragraph">
                  <wp:posOffset>7113905</wp:posOffset>
                </wp:positionV>
                <wp:extent cx="6646545" cy="1765300"/>
                <wp:effectExtent l="1270" t="0" r="635"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176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7F910" w14:textId="24EFABE8" w:rsidR="00105D63" w:rsidRDefault="002F2964" w:rsidP="00282534">
                            <w:pPr>
                              <w:spacing w:line="800" w:lineRule="exact"/>
                              <w:jc w:val="center"/>
                              <w:rPr>
                                <w:rFonts w:ascii="思源黑体 CN Bold" w:eastAsia="思源黑体 CN Bold" w:hAnsi="思源黑体 CN Bold"/>
                                <w:b/>
                                <w:color w:val="449EA4"/>
                                <w:sz w:val="56"/>
                                <w:szCs w:val="72"/>
                              </w:rPr>
                            </w:pPr>
                            <w:r>
                              <w:rPr>
                                <w:rFonts w:ascii="思源黑体 CN Bold" w:eastAsia="思源黑体 CN Bold" w:hAnsi="思源黑体 CN Bold"/>
                                <w:b/>
                                <w:color w:val="449EA4"/>
                                <w:sz w:val="56"/>
                                <w:szCs w:val="72"/>
                              </w:rPr>
                              <w:t>2023年</w:t>
                            </w:r>
                            <w:r>
                              <w:rPr>
                                <w:rFonts w:ascii="思源黑体 CN Bold" w:eastAsia="思源黑体 CN Bold" w:hAnsi="思源黑体 CN Bold" w:hint="eastAsia"/>
                                <w:b/>
                                <w:color w:val="449EA4"/>
                                <w:sz w:val="56"/>
                                <w:szCs w:val="72"/>
                              </w:rPr>
                              <w:t>初</w:t>
                            </w:r>
                            <w:r>
                              <w:rPr>
                                <w:rFonts w:ascii="思源黑体 CN Bold" w:eastAsia="思源黑体 CN Bold" w:hAnsi="思源黑体 CN Bold"/>
                                <w:b/>
                                <w:color w:val="449EA4"/>
                                <w:sz w:val="56"/>
                                <w:szCs w:val="72"/>
                              </w:rPr>
                              <w:t>典型城市</w:t>
                            </w:r>
                            <w:r w:rsidR="00105D63" w:rsidRPr="00C3280F">
                              <w:rPr>
                                <w:rFonts w:ascii="思源黑体 CN Bold" w:eastAsia="思源黑体 CN Bold" w:hAnsi="思源黑体 CN Bold" w:hint="eastAsia"/>
                                <w:b/>
                                <w:color w:val="449EA4"/>
                                <w:sz w:val="56"/>
                                <w:szCs w:val="72"/>
                              </w:rPr>
                              <w:t>库存压力</w:t>
                            </w:r>
                          </w:p>
                          <w:p w14:paraId="577F95DE" w14:textId="1F1A49B2" w:rsidR="00105D63" w:rsidRPr="00C3280F" w:rsidRDefault="00105D63" w:rsidP="00282534">
                            <w:pPr>
                              <w:spacing w:line="800" w:lineRule="exact"/>
                              <w:jc w:val="center"/>
                              <w:rPr>
                                <w:rFonts w:ascii="思源黑体 CN Bold" w:eastAsia="思源黑体 CN Bold" w:hAnsi="思源黑体 CN Bold"/>
                                <w:b/>
                                <w:color w:val="449EA4"/>
                                <w:sz w:val="56"/>
                                <w:szCs w:val="72"/>
                              </w:rPr>
                            </w:pPr>
                            <w:r>
                              <w:rPr>
                                <w:rFonts w:ascii="思源黑体 CN Bold" w:eastAsia="思源黑体 CN Bold" w:hAnsi="思源黑体 CN Bold" w:hint="eastAsia"/>
                                <w:b/>
                                <w:color w:val="449EA4"/>
                                <w:sz w:val="56"/>
                                <w:szCs w:val="72"/>
                              </w:rPr>
                              <w:t>及结构性特征研判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9DA0C" id="Rectangle 11" o:spid="_x0000_s1028" style="position:absolute;left:0;text-align:left;margin-left:-32.9pt;margin-top:560.15pt;width:523.35pt;height:1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" stroked="f">
                <v:textbox>
                  <w:txbxContent>
                    <w:p w14:paraId="6837F910" w14:textId="24EFABE8" w:rsidR="00105D63" w:rsidRDefault="002F2964" w:rsidP="00282534">
                      <w:pPr>
                        <w:spacing w:line="800" w:lineRule="exact"/>
                        <w:jc w:val="center"/>
                        <w:rPr>
                          <w:rFonts w:ascii="思源黑体 CN Bold" w:eastAsia="思源黑体 CN Bold" w:hAnsi="思源黑体 CN Bold"/>
                          <w:b/>
                          <w:color w:val="449EA4"/>
                          <w:sz w:val="56"/>
                          <w:szCs w:val="72"/>
                        </w:rPr>
                      </w:pPr>
                      <w:r>
                        <w:rPr>
                          <w:rFonts w:ascii="思源黑体 CN Bold" w:eastAsia="思源黑体 CN Bold" w:hAnsi="思源黑体 CN Bold"/>
                          <w:b/>
                          <w:color w:val="449EA4"/>
                          <w:sz w:val="56"/>
                          <w:szCs w:val="72"/>
                        </w:rPr>
                        <w:t>2023年</w:t>
                      </w:r>
                      <w:r>
                        <w:rPr>
                          <w:rFonts w:ascii="思源黑体 CN Bold" w:eastAsia="思源黑体 CN Bold" w:hAnsi="思源黑体 CN Bold" w:hint="eastAsia"/>
                          <w:b/>
                          <w:color w:val="449EA4"/>
                          <w:sz w:val="56"/>
                          <w:szCs w:val="72"/>
                        </w:rPr>
                        <w:t>初</w:t>
                      </w:r>
                      <w:r>
                        <w:rPr>
                          <w:rFonts w:ascii="思源黑体 CN Bold" w:eastAsia="思源黑体 CN Bold" w:hAnsi="思源黑体 CN Bold"/>
                          <w:b/>
                          <w:color w:val="449EA4"/>
                          <w:sz w:val="56"/>
                          <w:szCs w:val="72"/>
                        </w:rPr>
                        <w:t>典型城市</w:t>
                      </w:r>
                      <w:r w:rsidR="00105D63" w:rsidRPr="00C3280F">
                        <w:rPr>
                          <w:rFonts w:ascii="思源黑体 CN Bold" w:eastAsia="思源黑体 CN Bold" w:hAnsi="思源黑体 CN Bold" w:hint="eastAsia"/>
                          <w:b/>
                          <w:color w:val="449EA4"/>
                          <w:sz w:val="56"/>
                          <w:szCs w:val="72"/>
                        </w:rPr>
                        <w:t>库存压力</w:t>
                      </w:r>
                    </w:p>
                    <w:p w14:paraId="577F95DE" w14:textId="1F1A49B2" w:rsidR="00105D63" w:rsidRPr="00C3280F" w:rsidRDefault="00105D63" w:rsidP="00282534">
                      <w:pPr>
                        <w:spacing w:line="800" w:lineRule="exact"/>
                        <w:jc w:val="center"/>
                        <w:rPr>
                          <w:rFonts w:ascii="思源黑体 CN Bold" w:eastAsia="思源黑体 CN Bold" w:hAnsi="思源黑体 CN Bold"/>
                          <w:b/>
                          <w:color w:val="449EA4"/>
                          <w:sz w:val="56"/>
                          <w:szCs w:val="72"/>
                        </w:rPr>
                      </w:pPr>
                      <w:r>
                        <w:rPr>
                          <w:rFonts w:ascii="思源黑体 CN Bold" w:eastAsia="思源黑体 CN Bold" w:hAnsi="思源黑体 CN Bold" w:hint="eastAsia"/>
                          <w:b/>
                          <w:color w:val="449EA4"/>
                          <w:sz w:val="56"/>
                          <w:szCs w:val="72"/>
                        </w:rPr>
                        <w:t>及结构性特征研判</w:t>
                      </w:r>
                    </w:p>
                  </w:txbxContent>
                </v:textbox>
              </v:rect>
            </w:pict>
          </mc:Fallback>
        </mc:AlternateContent>
      </w:r>
      <w:r w:rsidR="00345E73">
        <w:rPr>
          <w:rFonts w:ascii="方正兰亭中黑简体" w:eastAsia="方正兰亭中黑简体" w:hAnsi="微软雅黑"/>
          <w:b/>
          <w:noProof/>
          <w:szCs w:val="21"/>
        </w:rPr>
        <mc:AlternateContent>
          <mc:Choice Requires="wps">
            <w:drawing>
              <wp:anchor distT="0" distB="0" distL="114300" distR="114300" simplePos="0" relativeHeight="251670528" behindDoc="0" locked="0" layoutInCell="1" allowOverlap="1" wp14:anchorId="5D41B26D" wp14:editId="15B13143">
                <wp:simplePos x="0" y="0"/>
                <wp:positionH relativeFrom="column">
                  <wp:posOffset>607060</wp:posOffset>
                </wp:positionH>
                <wp:positionV relativeFrom="paragraph">
                  <wp:posOffset>5229860</wp:posOffset>
                </wp:positionV>
                <wp:extent cx="5053965" cy="669925"/>
                <wp:effectExtent l="0" t="0" r="0" b="0"/>
                <wp:wrapNone/>
                <wp:docPr id="18"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3965" cy="669925"/>
                        </a:xfrm>
                        <a:prstGeom prst="rect">
                          <a:avLst/>
                        </a:prstGeom>
                        <a:noFill/>
                        <a:ln w="6350">
                          <a:noFill/>
                        </a:ln>
                      </wps:spPr>
                      <wps:txbx>
                        <w:txbxContent>
                          <w:p w14:paraId="2B8EB77C" w14:textId="7F14773A" w:rsidR="00105D63" w:rsidRDefault="00105D63">
                            <w:pPr>
                              <w:jc w:val="center"/>
                              <w:rPr>
                                <w:rFonts w:ascii="微软雅黑" w:eastAsia="微软雅黑" w:hAnsi="微软雅黑"/>
                                <w:b/>
                                <w:color w:val="C6D9F1" w:themeColor="text2" w:themeTint="33"/>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5D41B26D" id="_x0000_t202" coordsize="21600,21600" o:spt="202" path="m,l,21600r21600,l21600,xe">
                <v:stroke joinstyle="miter"/>
                <v:path gradientshapeok="t" o:connecttype="rect"/>
              </v:shapetype>
              <v:shape id="文本框 6" o:spid="_x0000_s1029" type="#_x0000_t202" style="position:absolute;left:0;text-align:left;margin-left:47.8pt;margin-top:411.8pt;width:397.95pt;height:5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" filled="f" stroked="f" strokeweight=".5pt">
                <v:path arrowok="t"/>
                <v:textbox>
                  <w:txbxContent>
                    <w:p w14:paraId="2B8EB77C" w14:textId="7F14773A" w:rsidR="00105D63" w:rsidRDefault="00105D63">
                      <w:pPr>
                        <w:jc w:val="center"/>
                        <w:rPr>
                          <w:rFonts w:ascii="微软雅黑" w:eastAsia="微软雅黑" w:hAnsi="微软雅黑"/>
                          <w:b/>
                          <w:color w:val="C6D9F1" w:themeColor="text2" w:themeTint="33"/>
                          <w:sz w:val="28"/>
                          <w:szCs w:val="28"/>
                        </w:rPr>
                      </w:pPr>
                    </w:p>
                  </w:txbxContent>
                </v:textbox>
              </v:shape>
            </w:pict>
          </mc:Fallback>
        </mc:AlternateContent>
      </w:r>
      <w:r w:rsidR="00E05D1F">
        <w:rPr>
          <w:rFonts w:ascii="方正兰亭中黑简体" w:eastAsia="方正兰亭中黑简体" w:hAnsi="微软雅黑" w:hint="eastAsia"/>
          <w:b/>
        </w:rPr>
        <w:t xml:space="preserve"> </w:t>
      </w:r>
      <w:r w:rsidR="00914928">
        <w:rPr>
          <w:rFonts w:ascii="方正兰亭中黑简体" w:eastAsia="方正兰亭中黑简体" w:hAnsi="微软雅黑" w:hint="eastAsia"/>
          <w:b/>
        </w:rPr>
        <w:br w:type="page"/>
      </w:r>
      <w:bookmarkStart w:id="0" w:name="_Toc4168239"/>
      <w:bookmarkStart w:id="1" w:name="_Toc516838493"/>
      <w:bookmarkStart w:id="2" w:name="_Toc518997944"/>
      <w:bookmarkStart w:id="3" w:name="_Toc488245039"/>
    </w:p>
    <w:bookmarkEnd w:id="0"/>
    <w:p w14:paraId="14C5E6B5" w14:textId="77777777" w:rsidR="000570C4" w:rsidRDefault="000570C4">
      <w:pPr>
        <w:rPr>
          <w:rFonts w:ascii="宋体" w:eastAsia="宋体" w:hAnsi="宋体" w:cs="宋体"/>
          <w:b/>
        </w:rPr>
      </w:pPr>
    </w:p>
    <w:p w14:paraId="0730673A" w14:textId="77777777" w:rsidR="000570C4" w:rsidRDefault="000570C4">
      <w:pPr>
        <w:rPr>
          <w:rFonts w:ascii="宋体" w:eastAsia="宋体" w:hAnsi="宋体" w:cs="宋体"/>
          <w:b/>
        </w:rPr>
      </w:pPr>
      <w:r>
        <w:rPr>
          <w:rFonts w:ascii="宋体" w:eastAsia="宋体" w:hAnsi="宋体" w:cs="宋体" w:hint="eastAsia"/>
          <w:b/>
        </w:rPr>
        <w:t>总编</w:t>
      </w:r>
    </w:p>
    <w:p w14:paraId="66F4DBC2" w14:textId="77777777" w:rsidR="000570C4" w:rsidRDefault="000570C4">
      <w:pPr>
        <w:rPr>
          <w:rFonts w:ascii="宋体" w:eastAsia="宋体" w:hAnsi="宋体" w:cs="宋体"/>
          <w:bCs/>
        </w:rPr>
      </w:pPr>
      <w:r>
        <w:rPr>
          <w:rFonts w:ascii="宋体" w:eastAsia="宋体" w:hAnsi="宋体" w:cs="宋体" w:hint="eastAsia"/>
          <w:bCs/>
        </w:rPr>
        <w:t>丁祖昱  张燕</w:t>
      </w:r>
    </w:p>
    <w:p w14:paraId="5A9F8A73" w14:textId="3A1C9D2A" w:rsidR="000570C4" w:rsidRDefault="000570C4">
      <w:pPr>
        <w:rPr>
          <w:rFonts w:ascii="宋体" w:eastAsia="宋体" w:hAnsi="宋体" w:cs="宋体"/>
          <w:b/>
        </w:rPr>
      </w:pPr>
    </w:p>
    <w:p w14:paraId="76C63344" w14:textId="77777777" w:rsidR="00914673" w:rsidRDefault="00914673">
      <w:pPr>
        <w:rPr>
          <w:rFonts w:ascii="宋体" w:eastAsia="宋体" w:hAnsi="宋体" w:cs="宋体"/>
          <w:b/>
        </w:rPr>
      </w:pPr>
    </w:p>
    <w:p w14:paraId="5515BA62" w14:textId="77777777" w:rsidR="000570C4" w:rsidRDefault="000570C4">
      <w:pPr>
        <w:rPr>
          <w:rFonts w:ascii="宋体" w:eastAsia="宋体" w:hAnsi="宋体" w:cs="宋体"/>
          <w:b/>
        </w:rPr>
      </w:pPr>
      <w:r>
        <w:rPr>
          <w:rFonts w:ascii="宋体" w:eastAsia="宋体" w:hAnsi="宋体" w:cs="宋体" w:hint="eastAsia"/>
          <w:b/>
        </w:rPr>
        <w:t>主编</w:t>
      </w:r>
    </w:p>
    <w:p w14:paraId="3D9C3524" w14:textId="77777777" w:rsidR="000570C4" w:rsidRDefault="000570C4">
      <w:pPr>
        <w:rPr>
          <w:rFonts w:ascii="宋体" w:eastAsia="宋体" w:hAnsi="宋体" w:cs="宋体"/>
          <w:bCs/>
          <w:szCs w:val="21"/>
        </w:rPr>
      </w:pPr>
      <w:r>
        <w:rPr>
          <w:rFonts w:ascii="宋体" w:eastAsia="宋体" w:hAnsi="宋体" w:cs="宋体" w:hint="eastAsia"/>
          <w:bCs/>
          <w:szCs w:val="21"/>
        </w:rPr>
        <w:t>孟音</w:t>
      </w:r>
      <w:r>
        <w:rPr>
          <w:rFonts w:ascii="宋体" w:eastAsia="宋体" w:hAnsi="宋体" w:cs="宋体"/>
          <w:bCs/>
          <w:szCs w:val="21"/>
        </w:rPr>
        <w:t xml:space="preserve"> </w:t>
      </w:r>
      <w:r>
        <w:rPr>
          <w:rFonts w:ascii="宋体" w:eastAsia="宋体" w:hAnsi="宋体" w:cs="宋体" w:hint="eastAsia"/>
          <w:bCs/>
          <w:szCs w:val="21"/>
        </w:rPr>
        <w:t xml:space="preserve">林波 </w:t>
      </w:r>
    </w:p>
    <w:p w14:paraId="2CAF835E" w14:textId="77777777" w:rsidR="000570C4" w:rsidRDefault="000570C4">
      <w:pPr>
        <w:rPr>
          <w:rFonts w:ascii="宋体" w:eastAsia="宋体" w:hAnsi="宋体" w:cs="宋体"/>
          <w:bCs/>
          <w:szCs w:val="21"/>
        </w:rPr>
      </w:pPr>
    </w:p>
    <w:p w14:paraId="644F6618" w14:textId="77777777" w:rsidR="000570C4" w:rsidRDefault="000570C4">
      <w:pPr>
        <w:rPr>
          <w:rFonts w:ascii="宋体" w:eastAsia="宋体" w:hAnsi="宋体" w:cs="宋体"/>
          <w:b/>
          <w:szCs w:val="21"/>
        </w:rPr>
      </w:pPr>
    </w:p>
    <w:p w14:paraId="550C825B" w14:textId="77777777" w:rsidR="000570C4" w:rsidRDefault="000570C4">
      <w:pPr>
        <w:rPr>
          <w:rFonts w:ascii="宋体" w:eastAsia="宋体" w:hAnsi="宋体" w:cs="宋体"/>
          <w:b/>
          <w:szCs w:val="21"/>
        </w:rPr>
      </w:pPr>
      <w:r>
        <w:rPr>
          <w:rFonts w:ascii="宋体" w:eastAsia="宋体" w:hAnsi="宋体" w:cs="宋体" w:hint="eastAsia"/>
          <w:b/>
          <w:szCs w:val="21"/>
        </w:rPr>
        <w:t>课题组</w:t>
      </w:r>
    </w:p>
    <w:p w14:paraId="63D9FD86" w14:textId="5B46D017" w:rsidR="000570C4" w:rsidRDefault="000570C4">
      <w:pPr>
        <w:rPr>
          <w:rFonts w:ascii="宋体" w:eastAsia="宋体" w:hAnsi="宋体" w:cs="宋体"/>
          <w:bCs/>
        </w:rPr>
      </w:pPr>
      <w:r>
        <w:rPr>
          <w:rFonts w:ascii="宋体" w:eastAsia="宋体" w:hAnsi="宋体" w:cs="宋体" w:hint="eastAsia"/>
          <w:bCs/>
        </w:rPr>
        <w:t xml:space="preserve">马千里 </w:t>
      </w:r>
      <w:r w:rsidR="009B2386">
        <w:rPr>
          <w:rFonts w:ascii="宋体" w:eastAsia="宋体" w:hAnsi="宋体" w:cs="宋体" w:hint="eastAsia"/>
          <w:bCs/>
        </w:rPr>
        <w:t>邱娟</w:t>
      </w:r>
      <w:r w:rsidR="00B7253A">
        <w:rPr>
          <w:rFonts w:ascii="宋体" w:eastAsia="宋体" w:hAnsi="宋体" w:cs="宋体" w:hint="eastAsia"/>
          <w:bCs/>
        </w:rPr>
        <w:t xml:space="preserve"> 李诗韵</w:t>
      </w:r>
    </w:p>
    <w:p w14:paraId="1F59A54A" w14:textId="77777777" w:rsidR="000570C4" w:rsidRPr="006B7C50" w:rsidRDefault="000570C4">
      <w:pPr>
        <w:rPr>
          <w:rFonts w:ascii="宋体" w:eastAsia="宋体" w:hAnsi="宋体" w:cs="宋体"/>
          <w:bCs/>
        </w:rPr>
      </w:pPr>
    </w:p>
    <w:p w14:paraId="4D26CE51" w14:textId="77777777" w:rsidR="000570C4" w:rsidRDefault="000570C4">
      <w:pPr>
        <w:rPr>
          <w:rFonts w:ascii="宋体" w:eastAsia="宋体" w:hAnsi="宋体" w:cs="宋体"/>
          <w:bCs/>
        </w:rPr>
      </w:pPr>
    </w:p>
    <w:p w14:paraId="64C5C95F" w14:textId="77777777" w:rsidR="000570C4" w:rsidRDefault="000570C4">
      <w:pPr>
        <w:rPr>
          <w:rFonts w:ascii="宋体" w:eastAsia="宋体" w:hAnsi="宋体" w:cs="宋体"/>
          <w:bCs/>
        </w:rPr>
      </w:pPr>
    </w:p>
    <w:p w14:paraId="12CB3A73" w14:textId="77777777" w:rsidR="000570C4" w:rsidRDefault="000570C4">
      <w:pPr>
        <w:rPr>
          <w:rFonts w:ascii="宋体" w:eastAsia="宋体" w:hAnsi="宋体" w:cs="宋体"/>
          <w:b/>
        </w:rPr>
      </w:pPr>
    </w:p>
    <w:p w14:paraId="198E07B3" w14:textId="77777777" w:rsidR="000570C4" w:rsidRDefault="000570C4">
      <w:pPr>
        <w:rPr>
          <w:rFonts w:ascii="宋体" w:eastAsia="宋体" w:hAnsi="宋体" w:cs="宋体"/>
          <w:b/>
        </w:rPr>
      </w:pPr>
    </w:p>
    <w:p w14:paraId="78CA2129" w14:textId="77777777" w:rsidR="000570C4" w:rsidRDefault="000570C4">
      <w:pPr>
        <w:rPr>
          <w:rFonts w:ascii="宋体" w:eastAsia="宋体" w:hAnsi="宋体" w:cs="宋体"/>
          <w:b/>
        </w:rPr>
      </w:pPr>
      <w:r>
        <w:rPr>
          <w:rFonts w:ascii="宋体" w:eastAsia="宋体" w:hAnsi="宋体" w:cs="宋体" w:hint="eastAsia"/>
          <w:b/>
        </w:rPr>
        <w:t>版权声明</w:t>
      </w:r>
    </w:p>
    <w:p w14:paraId="7D671881" w14:textId="77777777" w:rsidR="000570C4" w:rsidRDefault="000570C4">
      <w:pPr>
        <w:rPr>
          <w:rFonts w:ascii="宋体" w:eastAsia="宋体" w:hAnsi="宋体" w:cs="宋体"/>
          <w:bCs/>
        </w:rPr>
      </w:pPr>
      <w:r>
        <w:rPr>
          <w:rFonts w:ascii="宋体" w:eastAsia="宋体" w:hAnsi="宋体" w:cs="宋体" w:hint="eastAsia"/>
          <w:bCs/>
        </w:rPr>
        <w:t>本报告内容为易居企业集团克而瑞所有，未经许可，不得转载。</w:t>
      </w:r>
    </w:p>
    <w:p w14:paraId="7723FB61" w14:textId="77777777" w:rsidR="000570C4" w:rsidRDefault="000570C4">
      <w:pPr>
        <w:rPr>
          <w:rFonts w:ascii="宋体" w:eastAsia="宋体" w:hAnsi="宋体" w:cs="宋体"/>
          <w:bCs/>
        </w:rPr>
      </w:pPr>
    </w:p>
    <w:p w14:paraId="3A6FB572" w14:textId="77777777" w:rsidR="000570C4" w:rsidRDefault="000570C4">
      <w:pPr>
        <w:rPr>
          <w:rFonts w:ascii="宋体" w:eastAsia="宋体" w:hAnsi="宋体" w:cs="宋体"/>
          <w:bCs/>
        </w:rPr>
      </w:pPr>
    </w:p>
    <w:p w14:paraId="6A909DF8" w14:textId="77777777" w:rsidR="000570C4" w:rsidRDefault="000570C4">
      <w:pPr>
        <w:rPr>
          <w:rFonts w:ascii="宋体" w:eastAsia="宋体" w:hAnsi="宋体" w:cs="宋体"/>
          <w:b/>
        </w:rPr>
      </w:pPr>
      <w:r>
        <w:rPr>
          <w:rFonts w:ascii="宋体" w:eastAsia="宋体" w:hAnsi="宋体" w:cs="宋体" w:hint="eastAsia"/>
          <w:b/>
        </w:rPr>
        <w:t>免责声明</w:t>
      </w:r>
    </w:p>
    <w:p w14:paraId="49091ED7" w14:textId="77777777" w:rsidR="000570C4" w:rsidRDefault="000570C4">
      <w:pPr>
        <w:rPr>
          <w:rFonts w:ascii="宋体" w:eastAsia="宋体" w:hAnsi="宋体" w:cs="宋体"/>
          <w:bCs/>
        </w:rPr>
      </w:pPr>
      <w:r>
        <w:rPr>
          <w:rFonts w:ascii="宋体" w:eastAsia="宋体" w:hAnsi="宋体" w:cs="宋体" w:hint="eastAsia"/>
          <w:bCs/>
        </w:rPr>
        <w:t>本报告中的内容和建议仅供参考，并不构成对所述市场交易的出价或者评估。我司及其雇员对使用本书中内客所引发的任何直接或间接损失概不负责。</w:t>
      </w:r>
    </w:p>
    <w:p w14:paraId="7DF0FF95" w14:textId="77777777" w:rsidR="000570C4" w:rsidRDefault="000570C4">
      <w:pPr>
        <w:rPr>
          <w:rFonts w:ascii="宋体" w:eastAsia="宋体" w:hAnsi="宋体" w:cs="宋体"/>
          <w:bCs/>
        </w:rPr>
      </w:pPr>
    </w:p>
    <w:p w14:paraId="218A0366" w14:textId="77777777" w:rsidR="000570C4" w:rsidRDefault="000570C4">
      <w:pPr>
        <w:rPr>
          <w:rFonts w:ascii="宋体" w:eastAsia="宋体" w:hAnsi="宋体" w:cs="宋体"/>
        </w:rPr>
      </w:pPr>
      <w:r>
        <w:rPr>
          <w:rFonts w:ascii="宋体" w:eastAsia="宋体" w:hAnsi="宋体" w:cs="宋体" w:hint="eastAsia"/>
        </w:rPr>
        <w:t>数据、观点等引用请注明“由易居·克而瑞提供”。由于统计时间和口径的差异，可能出现与相关政府部门最终公布数据不一致的情形，则最终以政府部门权威数据为准。</w:t>
      </w:r>
    </w:p>
    <w:p w14:paraId="46B114BB" w14:textId="77777777" w:rsidR="000570C4" w:rsidRDefault="000570C4">
      <w:pPr>
        <w:rPr>
          <w:rFonts w:ascii="宋体" w:eastAsia="宋体" w:hAnsi="宋体" w:cs="宋体"/>
          <w:bCs/>
        </w:rPr>
      </w:pPr>
    </w:p>
    <w:p w14:paraId="12751803" w14:textId="77777777" w:rsidR="000570C4" w:rsidRDefault="000570C4">
      <w:pPr>
        <w:rPr>
          <w:rFonts w:ascii="宋体" w:eastAsia="宋体" w:hAnsi="宋体" w:cs="宋体"/>
          <w:b/>
        </w:rPr>
      </w:pPr>
    </w:p>
    <w:p w14:paraId="3126E8E8" w14:textId="77777777" w:rsidR="000570C4" w:rsidRDefault="000570C4">
      <w:pPr>
        <w:rPr>
          <w:rFonts w:ascii="宋体" w:eastAsia="宋体" w:hAnsi="宋体" w:cs="宋体"/>
          <w:b/>
        </w:rPr>
      </w:pPr>
      <w:r>
        <w:rPr>
          <w:rFonts w:ascii="宋体" w:eastAsia="宋体" w:hAnsi="宋体" w:cs="宋体" w:hint="eastAsia"/>
          <w:b/>
        </w:rPr>
        <w:t>出品单位</w:t>
      </w:r>
    </w:p>
    <w:p w14:paraId="3CC1E080" w14:textId="77777777" w:rsidR="000570C4" w:rsidRPr="00394B49" w:rsidRDefault="000570C4">
      <w:pPr>
        <w:rPr>
          <w:rFonts w:ascii="宋体" w:eastAsia="宋体" w:hAnsi="宋体" w:cs="宋体"/>
          <w:bCs/>
        </w:rPr>
      </w:pPr>
      <w:r w:rsidRPr="00394B49">
        <w:rPr>
          <w:rFonts w:ascii="宋体" w:eastAsia="宋体" w:hAnsi="宋体" w:cs="宋体" w:hint="eastAsia"/>
          <w:bCs/>
        </w:rPr>
        <w:t>克而瑞研究中心出品</w:t>
      </w:r>
    </w:p>
    <w:p w14:paraId="64948B80" w14:textId="6DAD8563" w:rsidR="000570C4" w:rsidRPr="006B7C50" w:rsidRDefault="006B7C50" w:rsidP="006B7C50">
      <w:pPr>
        <w:widowControl/>
        <w:jc w:val="left"/>
        <w:rPr>
          <w:rFonts w:ascii="宋体" w:eastAsia="宋体" w:hAnsi="宋体" w:cs="宋体"/>
          <w:b/>
        </w:rPr>
      </w:pPr>
      <w:r>
        <w:rPr>
          <w:rFonts w:ascii="宋体" w:eastAsia="宋体" w:hAnsi="宋体" w:cs="宋体"/>
          <w:b/>
        </w:rPr>
        <w:br w:type="page"/>
      </w:r>
    </w:p>
    <w:bookmarkStart w:id="4" w:name="_Toc112330946" w:displacedByCustomXml="next"/>
    <w:bookmarkStart w:id="5" w:name="_Toc35624808" w:displacedByCustomXml="next"/>
    <w:bookmarkStart w:id="6" w:name="_Toc102902603" w:displacedByCustomXml="next"/>
    <w:sdt>
      <w:sdtPr>
        <w:rPr>
          <w:rFonts w:asciiTheme="minorHAnsi" w:eastAsiaTheme="minorEastAsia" w:hAnsiTheme="minorHAnsi" w:cstheme="minorBidi"/>
          <w:color w:val="auto"/>
          <w:kern w:val="2"/>
          <w:sz w:val="21"/>
          <w:szCs w:val="22"/>
          <w:lang w:val="zh-CN"/>
        </w:rPr>
        <w:id w:val="-739014067"/>
        <w:docPartObj>
          <w:docPartGallery w:val="Table of Contents"/>
          <w:docPartUnique/>
        </w:docPartObj>
      </w:sdtPr>
      <w:sdtEndPr>
        <w:rPr>
          <w:bCs/>
        </w:rPr>
      </w:sdtEndPr>
      <w:sdtContent>
        <w:p w14:paraId="0F48439A" w14:textId="6CD1C974" w:rsidR="00164439" w:rsidRPr="00E95DC9" w:rsidRDefault="00164439" w:rsidP="00562CBE">
          <w:pPr>
            <w:pStyle w:val="TOC"/>
            <w:spacing w:line="240" w:lineRule="auto"/>
            <w:rPr>
              <w:rFonts w:ascii="宋体" w:hAnsi="宋体"/>
              <w:sz w:val="21"/>
              <w:szCs w:val="21"/>
            </w:rPr>
          </w:pPr>
        </w:p>
        <w:p w14:paraId="530CAF46" w14:textId="12A742F7" w:rsidR="0059633E" w:rsidRPr="0059633E" w:rsidRDefault="00164439" w:rsidP="0059633E">
          <w:pPr>
            <w:pStyle w:val="11"/>
            <w:spacing w:line="400" w:lineRule="exact"/>
            <w:ind w:firstLine="444"/>
            <w:rPr>
              <w:rFonts w:ascii="宋体" w:eastAsia="宋体" w:hAnsi="宋体"/>
              <w:noProof/>
            </w:rPr>
          </w:pPr>
          <w:r w:rsidRPr="00B63FFE">
            <w:rPr>
              <w:rFonts w:ascii="黑体" w:eastAsia="黑体" w:hAnsi="黑体"/>
              <w:b w:val="0"/>
              <w:sz w:val="22"/>
              <w:szCs w:val="21"/>
            </w:rPr>
            <w:fldChar w:fldCharType="begin"/>
          </w:r>
          <w:r w:rsidRPr="00B63FFE">
            <w:rPr>
              <w:rFonts w:ascii="黑体" w:eastAsia="黑体" w:hAnsi="黑体"/>
              <w:b w:val="0"/>
              <w:sz w:val="22"/>
              <w:szCs w:val="21"/>
            </w:rPr>
            <w:instrText xml:space="preserve"> TOC \o "1-3" \h \z \u </w:instrText>
          </w:r>
          <w:r w:rsidRPr="00B63FFE">
            <w:rPr>
              <w:rFonts w:ascii="黑体" w:eastAsia="黑体" w:hAnsi="黑体"/>
              <w:b w:val="0"/>
              <w:sz w:val="22"/>
              <w:szCs w:val="21"/>
            </w:rPr>
            <w:fldChar w:fldCharType="separate"/>
          </w:r>
          <w:hyperlink w:anchor="_Toc128583514" w:history="1">
            <w:r w:rsidR="0059633E" w:rsidRPr="0059633E">
              <w:rPr>
                <w:rStyle w:val="afa"/>
                <w:rFonts w:ascii="宋体" w:eastAsia="宋体" w:hAnsi="宋体" w:hint="eastAsia"/>
                <w:bCs/>
                <w:noProof/>
                <w:kern w:val="0"/>
              </w:rPr>
              <w:t>研究视点</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_Toc128583514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4</w:t>
            </w:r>
            <w:r w:rsidR="0059633E" w:rsidRPr="0059633E">
              <w:rPr>
                <w:rFonts w:ascii="宋体" w:eastAsia="宋体" w:hAnsi="宋体"/>
                <w:noProof/>
                <w:webHidden/>
              </w:rPr>
              <w:fldChar w:fldCharType="end"/>
            </w:r>
          </w:hyperlink>
        </w:p>
        <w:p w14:paraId="28ACF74F" w14:textId="498AFDC7" w:rsidR="0059633E" w:rsidRPr="0059633E" w:rsidRDefault="000A19D2" w:rsidP="00105D63">
          <w:pPr>
            <w:pStyle w:val="11"/>
            <w:spacing w:line="400" w:lineRule="exact"/>
            <w:rPr>
              <w:rFonts w:ascii="宋体" w:eastAsia="宋体" w:hAnsi="宋体"/>
              <w:noProof/>
            </w:rPr>
          </w:pPr>
          <w:hyperlink w:anchor="_Toc128583515" w:history="1">
            <w:r w:rsidR="0059633E" w:rsidRPr="0059633E">
              <w:rPr>
                <w:rStyle w:val="afa"/>
                <w:rFonts w:ascii="宋体" w:eastAsia="宋体" w:hAnsi="宋体" w:hint="eastAsia"/>
                <w:bCs/>
                <w:noProof/>
              </w:rPr>
              <w:t>一，竣工未售、广义库存创新高，狭义库存却高位微降</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_Toc128583515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5</w:t>
            </w:r>
            <w:r w:rsidR="0059633E" w:rsidRPr="0059633E">
              <w:rPr>
                <w:rFonts w:ascii="宋体" w:eastAsia="宋体" w:hAnsi="宋体"/>
                <w:noProof/>
                <w:webHidden/>
              </w:rPr>
              <w:fldChar w:fldCharType="end"/>
            </w:r>
          </w:hyperlink>
        </w:p>
        <w:p w14:paraId="0E98543D" w14:textId="6E31DD71" w:rsidR="0059633E" w:rsidRPr="0059633E" w:rsidRDefault="000A19D2" w:rsidP="0059633E">
          <w:pPr>
            <w:pStyle w:val="21"/>
            <w:spacing w:line="400" w:lineRule="exact"/>
            <w:rPr>
              <w:rFonts w:ascii="宋体" w:eastAsia="宋体" w:hAnsi="宋体"/>
              <w:noProof/>
            </w:rPr>
          </w:pPr>
          <w:hyperlink w:anchor="_Toc128583516" w:history="1">
            <w:r w:rsidR="0059633E" w:rsidRPr="0059633E">
              <w:rPr>
                <w:rStyle w:val="afa"/>
                <w:rFonts w:ascii="宋体" w:eastAsia="宋体" w:hAnsi="宋体"/>
                <w:noProof/>
              </w:rPr>
              <w:t>1</w:t>
            </w:r>
            <w:r w:rsidR="0059633E" w:rsidRPr="0059633E">
              <w:rPr>
                <w:rStyle w:val="afa"/>
                <w:rFonts w:ascii="宋体" w:eastAsia="宋体" w:hAnsi="宋体" w:hint="eastAsia"/>
                <w:noProof/>
              </w:rPr>
              <w:t>，住宅竣工未售率重回三成以上，待售面积创近五年新高、仍低于</w:t>
            </w:r>
            <w:r w:rsidR="0059633E" w:rsidRPr="0059633E">
              <w:rPr>
                <w:rStyle w:val="afa"/>
                <w:rFonts w:ascii="宋体" w:eastAsia="宋体" w:hAnsi="宋体"/>
                <w:noProof/>
              </w:rPr>
              <w:t>2015</w:t>
            </w:r>
            <w:r w:rsidR="0059633E" w:rsidRPr="0059633E">
              <w:rPr>
                <w:rStyle w:val="afa"/>
                <w:rFonts w:ascii="宋体" w:eastAsia="宋体" w:hAnsi="宋体" w:hint="eastAsia"/>
                <w:noProof/>
              </w:rPr>
              <w:t>年高点</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_Toc128583516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5</w:t>
            </w:r>
            <w:r w:rsidR="0059633E" w:rsidRPr="0059633E">
              <w:rPr>
                <w:rFonts w:ascii="宋体" w:eastAsia="宋体" w:hAnsi="宋体"/>
                <w:noProof/>
                <w:webHidden/>
              </w:rPr>
              <w:fldChar w:fldCharType="end"/>
            </w:r>
          </w:hyperlink>
        </w:p>
        <w:p w14:paraId="04E46707" w14:textId="1D167A81" w:rsidR="0059633E" w:rsidRPr="0059633E" w:rsidRDefault="000A19D2" w:rsidP="0059633E">
          <w:pPr>
            <w:pStyle w:val="21"/>
            <w:spacing w:line="400" w:lineRule="exact"/>
            <w:rPr>
              <w:rFonts w:ascii="宋体" w:eastAsia="宋体" w:hAnsi="宋体"/>
              <w:noProof/>
            </w:rPr>
          </w:pPr>
          <w:hyperlink w:anchor="_Toc128583517" w:history="1">
            <w:r w:rsidR="0059633E" w:rsidRPr="0059633E">
              <w:rPr>
                <w:rStyle w:val="afa"/>
                <w:rFonts w:ascii="宋体" w:eastAsia="宋体" w:hAnsi="宋体"/>
                <w:noProof/>
              </w:rPr>
              <w:t>2</w:t>
            </w:r>
            <w:r w:rsidR="0059633E" w:rsidRPr="0059633E">
              <w:rPr>
                <w:rStyle w:val="afa"/>
                <w:rFonts w:ascii="宋体" w:eastAsia="宋体" w:hAnsi="宋体" w:hint="eastAsia"/>
                <w:noProof/>
              </w:rPr>
              <w:t>，狭义库存低于</w:t>
            </w:r>
            <w:r w:rsidR="0059633E" w:rsidRPr="0059633E">
              <w:rPr>
                <w:rStyle w:val="afa"/>
                <w:rFonts w:ascii="宋体" w:eastAsia="宋体" w:hAnsi="宋体"/>
                <w:noProof/>
              </w:rPr>
              <w:t>2014</w:t>
            </w:r>
            <w:r w:rsidR="0059633E" w:rsidRPr="0059633E">
              <w:rPr>
                <w:rStyle w:val="afa"/>
                <w:rFonts w:ascii="宋体" w:eastAsia="宋体" w:hAnsi="宋体" w:hint="eastAsia"/>
                <w:noProof/>
              </w:rPr>
              <w:t>年高点，独立行情下上海、杭州“主动”增库存</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_Toc128583517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6</w:t>
            </w:r>
            <w:r w:rsidR="0059633E" w:rsidRPr="0059633E">
              <w:rPr>
                <w:rFonts w:ascii="宋体" w:eastAsia="宋体" w:hAnsi="宋体"/>
                <w:noProof/>
                <w:webHidden/>
              </w:rPr>
              <w:fldChar w:fldCharType="end"/>
            </w:r>
          </w:hyperlink>
        </w:p>
        <w:p w14:paraId="49513A3B" w14:textId="2C0928C1" w:rsidR="0059633E" w:rsidRPr="0059633E" w:rsidRDefault="000A19D2" w:rsidP="0059633E">
          <w:pPr>
            <w:pStyle w:val="31"/>
            <w:tabs>
              <w:tab w:val="right" w:leader="dot" w:pos="9060"/>
            </w:tabs>
            <w:spacing w:line="400" w:lineRule="exact"/>
            <w:rPr>
              <w:rFonts w:ascii="宋体" w:eastAsia="宋体" w:hAnsi="宋体"/>
              <w:b/>
              <w:noProof/>
            </w:rPr>
          </w:pPr>
          <w:hyperlink w:anchor="_Toc128583518" w:history="1">
            <w:r w:rsidR="0059633E" w:rsidRPr="0059633E">
              <w:rPr>
                <w:rStyle w:val="afa"/>
                <w:rFonts w:ascii="宋体" w:eastAsia="宋体" w:hAnsi="宋体" w:cs="方正兰亭中黑简体"/>
                <w:b/>
                <w:bCs/>
                <w:noProof/>
              </w:rPr>
              <w:t>1</w:t>
            </w:r>
            <w:r w:rsidR="0059633E" w:rsidRPr="0059633E">
              <w:rPr>
                <w:rStyle w:val="afa"/>
                <w:rFonts w:ascii="宋体" w:eastAsia="宋体" w:hAnsi="宋体" w:cs="方正兰亭中黑简体" w:hint="eastAsia"/>
                <w:b/>
                <w:bCs/>
                <w:noProof/>
              </w:rPr>
              <w:t>）、</w:t>
            </w:r>
            <w:r w:rsidR="0059633E" w:rsidRPr="0059633E">
              <w:rPr>
                <w:rStyle w:val="afa"/>
                <w:rFonts w:ascii="宋体" w:eastAsia="宋体" w:hAnsi="宋体"/>
                <w:b/>
                <w:noProof/>
              </w:rPr>
              <w:t>2020</w:t>
            </w:r>
            <w:r w:rsidR="0059633E" w:rsidRPr="0059633E">
              <w:rPr>
                <w:rStyle w:val="afa"/>
                <w:rFonts w:ascii="宋体" w:eastAsia="宋体" w:hAnsi="宋体" w:hint="eastAsia"/>
                <w:b/>
                <w:noProof/>
              </w:rPr>
              <w:t>年后狭义库存进入高位盘整期，新增供应降速助库存暂缓上升</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_Toc128583518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6</w:t>
            </w:r>
            <w:r w:rsidR="0059633E" w:rsidRPr="0059633E">
              <w:rPr>
                <w:rFonts w:ascii="宋体" w:eastAsia="宋体" w:hAnsi="宋体"/>
                <w:b/>
                <w:noProof/>
                <w:webHidden/>
              </w:rPr>
              <w:fldChar w:fldCharType="end"/>
            </w:r>
          </w:hyperlink>
        </w:p>
        <w:p w14:paraId="4C33B63C" w14:textId="55E50566" w:rsidR="0059633E" w:rsidRPr="0059633E" w:rsidRDefault="000A19D2" w:rsidP="0059633E">
          <w:pPr>
            <w:pStyle w:val="31"/>
            <w:tabs>
              <w:tab w:val="right" w:leader="dot" w:pos="9060"/>
            </w:tabs>
            <w:spacing w:line="400" w:lineRule="exact"/>
            <w:rPr>
              <w:rFonts w:ascii="宋体" w:eastAsia="宋体" w:hAnsi="宋体"/>
              <w:b/>
              <w:noProof/>
            </w:rPr>
          </w:pPr>
          <w:hyperlink w:anchor="_Toc128583519" w:history="1">
            <w:r w:rsidR="0059633E" w:rsidRPr="0059633E">
              <w:rPr>
                <w:rStyle w:val="afa"/>
                <w:rFonts w:ascii="宋体" w:eastAsia="宋体" w:hAnsi="宋体" w:cs="方正兰亭中黑简体"/>
                <w:b/>
                <w:bCs/>
                <w:noProof/>
              </w:rPr>
              <w:t>2</w:t>
            </w:r>
            <w:r w:rsidR="0059633E" w:rsidRPr="0059633E">
              <w:rPr>
                <w:rStyle w:val="afa"/>
                <w:rFonts w:ascii="宋体" w:eastAsia="宋体" w:hAnsi="宋体" w:cs="方正兰亭中黑简体" w:hint="eastAsia"/>
                <w:b/>
                <w:bCs/>
                <w:noProof/>
              </w:rPr>
              <w:t>）、</w:t>
            </w:r>
            <w:r w:rsidR="0059633E" w:rsidRPr="0059633E">
              <w:rPr>
                <w:rStyle w:val="afa"/>
                <w:rFonts w:ascii="宋体" w:eastAsia="宋体" w:hAnsi="宋体" w:hint="eastAsia"/>
                <w:b/>
                <w:noProof/>
              </w:rPr>
              <w:t>各能级库存走势明显分化，预期修复助一线城市狭义库存规模再上台阶</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_Toc128583519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7</w:t>
            </w:r>
            <w:r w:rsidR="0059633E" w:rsidRPr="0059633E">
              <w:rPr>
                <w:rFonts w:ascii="宋体" w:eastAsia="宋体" w:hAnsi="宋体"/>
                <w:b/>
                <w:noProof/>
                <w:webHidden/>
              </w:rPr>
              <w:fldChar w:fldCharType="end"/>
            </w:r>
          </w:hyperlink>
        </w:p>
        <w:p w14:paraId="76E2FC9A" w14:textId="63095D72" w:rsidR="0059633E" w:rsidRPr="0059633E" w:rsidRDefault="000A19D2" w:rsidP="0059633E">
          <w:pPr>
            <w:pStyle w:val="31"/>
            <w:tabs>
              <w:tab w:val="right" w:leader="dot" w:pos="9060"/>
            </w:tabs>
            <w:spacing w:line="400" w:lineRule="exact"/>
            <w:rPr>
              <w:rFonts w:ascii="宋体" w:eastAsia="宋体" w:hAnsi="宋体"/>
              <w:b/>
              <w:noProof/>
            </w:rPr>
          </w:pPr>
          <w:hyperlink w:anchor="_Toc128583520" w:history="1">
            <w:r w:rsidR="0059633E" w:rsidRPr="0059633E">
              <w:rPr>
                <w:rStyle w:val="afa"/>
                <w:rFonts w:ascii="宋体" w:eastAsia="宋体" w:hAnsi="宋体"/>
                <w:b/>
                <w:noProof/>
              </w:rPr>
              <w:t>3</w:t>
            </w:r>
            <w:r w:rsidR="0059633E" w:rsidRPr="0059633E">
              <w:rPr>
                <w:rStyle w:val="afa"/>
                <w:rFonts w:ascii="宋体" w:eastAsia="宋体" w:hAnsi="宋体" w:hint="eastAsia"/>
                <w:b/>
                <w:noProof/>
              </w:rPr>
              <w:t>）、仍有</w:t>
            </w:r>
            <w:r w:rsidR="0059633E" w:rsidRPr="0059633E">
              <w:rPr>
                <w:rStyle w:val="afa"/>
                <w:rFonts w:ascii="宋体" w:eastAsia="宋体" w:hAnsi="宋体"/>
                <w:b/>
                <w:noProof/>
              </w:rPr>
              <w:t>20</w:t>
            </w:r>
            <w:r w:rsidR="0059633E" w:rsidRPr="0059633E">
              <w:rPr>
                <w:rStyle w:val="afa"/>
                <w:rFonts w:ascii="宋体" w:eastAsia="宋体" w:hAnsi="宋体" w:hint="eastAsia"/>
                <w:b/>
                <w:noProof/>
              </w:rPr>
              <w:t>城库存高于</w:t>
            </w:r>
            <w:r w:rsidR="0059633E" w:rsidRPr="0059633E">
              <w:rPr>
                <w:rStyle w:val="afa"/>
                <w:rFonts w:ascii="宋体" w:eastAsia="宋体" w:hAnsi="宋体"/>
                <w:b/>
                <w:noProof/>
              </w:rPr>
              <w:t>2014</w:t>
            </w:r>
            <w:r w:rsidR="0059633E" w:rsidRPr="0059633E">
              <w:rPr>
                <w:rStyle w:val="afa"/>
                <w:rFonts w:ascii="宋体" w:eastAsia="宋体" w:hAnsi="宋体" w:hint="eastAsia"/>
                <w:b/>
                <w:noProof/>
              </w:rPr>
              <w:t>年高点，上海同比领增彰显供给侧信心</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_Toc128583520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8</w:t>
            </w:r>
            <w:r w:rsidR="0059633E" w:rsidRPr="0059633E">
              <w:rPr>
                <w:rFonts w:ascii="宋体" w:eastAsia="宋体" w:hAnsi="宋体"/>
                <w:b/>
                <w:noProof/>
                <w:webHidden/>
              </w:rPr>
              <w:fldChar w:fldCharType="end"/>
            </w:r>
          </w:hyperlink>
        </w:p>
        <w:p w14:paraId="7D0193DB" w14:textId="7955FA89" w:rsidR="0059633E" w:rsidRPr="0059633E" w:rsidRDefault="000A19D2" w:rsidP="0059633E">
          <w:pPr>
            <w:pStyle w:val="21"/>
            <w:spacing w:line="400" w:lineRule="exact"/>
            <w:rPr>
              <w:rFonts w:ascii="宋体" w:eastAsia="宋体" w:hAnsi="宋体"/>
              <w:noProof/>
            </w:rPr>
          </w:pPr>
          <w:hyperlink w:anchor="_Toc128583521" w:history="1">
            <w:r w:rsidR="0059633E" w:rsidRPr="0059633E">
              <w:rPr>
                <w:rStyle w:val="afa"/>
                <w:rFonts w:ascii="宋体" w:eastAsia="宋体" w:hAnsi="宋体"/>
                <w:noProof/>
              </w:rPr>
              <w:t>3</w:t>
            </w:r>
            <w:r w:rsidR="0059633E" w:rsidRPr="0059633E">
              <w:rPr>
                <w:rStyle w:val="afa"/>
                <w:rFonts w:ascii="宋体" w:eastAsia="宋体" w:hAnsi="宋体" w:hint="eastAsia"/>
                <w:noProof/>
              </w:rPr>
              <w:t>，广义库存</w:t>
            </w:r>
            <w:r w:rsidR="0059633E" w:rsidRPr="0059633E">
              <w:rPr>
                <w:rStyle w:val="afa"/>
                <w:rFonts w:ascii="宋体" w:eastAsia="宋体" w:hAnsi="宋体"/>
                <w:noProof/>
              </w:rPr>
              <w:t>2022</w:t>
            </w:r>
            <w:r w:rsidR="0059633E" w:rsidRPr="0059633E">
              <w:rPr>
                <w:rStyle w:val="afa"/>
                <w:rFonts w:ascii="宋体" w:eastAsia="宋体" w:hAnsi="宋体" w:hint="eastAsia"/>
                <w:noProof/>
              </w:rPr>
              <w:t>年同比增幅达</w:t>
            </w:r>
            <w:r w:rsidR="0059633E" w:rsidRPr="0059633E">
              <w:rPr>
                <w:rStyle w:val="afa"/>
                <w:rFonts w:ascii="宋体" w:eastAsia="宋体" w:hAnsi="宋体"/>
                <w:noProof/>
              </w:rPr>
              <w:t>6%</w:t>
            </w:r>
            <w:r w:rsidR="0059633E" w:rsidRPr="0059633E">
              <w:rPr>
                <w:rStyle w:val="afa"/>
                <w:rFonts w:ascii="宋体" w:eastAsia="宋体" w:hAnsi="宋体" w:hint="eastAsia"/>
                <w:noProof/>
              </w:rPr>
              <w:t>，仅二线城市与</w:t>
            </w:r>
            <w:r w:rsidR="0059633E" w:rsidRPr="0059633E">
              <w:rPr>
                <w:rStyle w:val="afa"/>
                <w:rFonts w:ascii="宋体" w:eastAsia="宋体" w:hAnsi="宋体"/>
                <w:noProof/>
              </w:rPr>
              <w:t>2019</w:t>
            </w:r>
            <w:r w:rsidR="0059633E" w:rsidRPr="0059633E">
              <w:rPr>
                <w:rStyle w:val="afa"/>
                <w:rFonts w:ascii="宋体" w:eastAsia="宋体" w:hAnsi="宋体" w:hint="eastAsia"/>
                <w:noProof/>
              </w:rPr>
              <w:t>年末规模相近</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_Toc128583521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11</w:t>
            </w:r>
            <w:r w:rsidR="0059633E" w:rsidRPr="0059633E">
              <w:rPr>
                <w:rFonts w:ascii="宋体" w:eastAsia="宋体" w:hAnsi="宋体"/>
                <w:noProof/>
                <w:webHidden/>
              </w:rPr>
              <w:fldChar w:fldCharType="end"/>
            </w:r>
          </w:hyperlink>
        </w:p>
        <w:p w14:paraId="409238C3" w14:textId="3375031A" w:rsidR="0059633E" w:rsidRPr="0059633E" w:rsidRDefault="000A19D2" w:rsidP="0059633E">
          <w:pPr>
            <w:pStyle w:val="31"/>
            <w:tabs>
              <w:tab w:val="right" w:leader="dot" w:pos="9060"/>
            </w:tabs>
            <w:spacing w:line="400" w:lineRule="exact"/>
            <w:rPr>
              <w:rFonts w:ascii="宋体" w:eastAsia="宋体" w:hAnsi="宋体"/>
              <w:b/>
              <w:noProof/>
            </w:rPr>
          </w:pPr>
          <w:hyperlink w:anchor="_Toc128583522" w:history="1">
            <w:r w:rsidR="0059633E" w:rsidRPr="0059633E">
              <w:rPr>
                <w:rStyle w:val="afa"/>
                <w:rFonts w:ascii="宋体" w:eastAsia="宋体" w:hAnsi="宋体" w:cs="方正兰亭中黑简体"/>
                <w:b/>
                <w:bCs/>
                <w:noProof/>
              </w:rPr>
              <w:t>1</w:t>
            </w:r>
            <w:r w:rsidR="0059633E" w:rsidRPr="0059633E">
              <w:rPr>
                <w:rStyle w:val="afa"/>
                <w:rFonts w:ascii="宋体" w:eastAsia="宋体" w:hAnsi="宋体" w:cs="方正兰亭中黑简体" w:hint="eastAsia"/>
                <w:b/>
                <w:bCs/>
                <w:noProof/>
              </w:rPr>
              <w:t>）、</w:t>
            </w:r>
            <w:r w:rsidR="0059633E" w:rsidRPr="0059633E">
              <w:rPr>
                <w:rStyle w:val="afa"/>
                <w:rFonts w:ascii="宋体" w:eastAsia="宋体" w:hAnsi="宋体" w:hint="eastAsia"/>
                <w:b/>
                <w:noProof/>
              </w:rPr>
              <w:t>一线</w:t>
            </w:r>
            <w:r w:rsidR="0059633E" w:rsidRPr="0059633E">
              <w:rPr>
                <w:rStyle w:val="afa"/>
                <w:rFonts w:ascii="宋体" w:eastAsia="宋体" w:hAnsi="宋体"/>
                <w:b/>
                <w:noProof/>
              </w:rPr>
              <w:t>2022</w:t>
            </w:r>
            <w:r w:rsidR="0059633E" w:rsidRPr="0059633E">
              <w:rPr>
                <w:rStyle w:val="afa"/>
                <w:rFonts w:ascii="宋体" w:eastAsia="宋体" w:hAnsi="宋体" w:hint="eastAsia"/>
                <w:b/>
                <w:noProof/>
              </w:rPr>
              <w:t>年同比涨幅居首，三四线涨幅其次反而库存压力最高</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_Toc128583522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11</w:t>
            </w:r>
            <w:r w:rsidR="0059633E" w:rsidRPr="0059633E">
              <w:rPr>
                <w:rFonts w:ascii="宋体" w:eastAsia="宋体" w:hAnsi="宋体"/>
                <w:b/>
                <w:noProof/>
                <w:webHidden/>
              </w:rPr>
              <w:fldChar w:fldCharType="end"/>
            </w:r>
          </w:hyperlink>
        </w:p>
        <w:p w14:paraId="44986296" w14:textId="73EDFC91" w:rsidR="0059633E" w:rsidRPr="0059633E" w:rsidRDefault="000A19D2" w:rsidP="0059633E">
          <w:pPr>
            <w:pStyle w:val="31"/>
            <w:tabs>
              <w:tab w:val="right" w:leader="dot" w:pos="9060"/>
            </w:tabs>
            <w:spacing w:line="400" w:lineRule="exact"/>
            <w:rPr>
              <w:rFonts w:ascii="宋体" w:eastAsia="宋体" w:hAnsi="宋体"/>
              <w:b/>
              <w:noProof/>
            </w:rPr>
          </w:pPr>
          <w:hyperlink w:anchor="_Toc128583523" w:history="1">
            <w:r w:rsidR="0059633E" w:rsidRPr="0059633E">
              <w:rPr>
                <w:rStyle w:val="afa"/>
                <w:rFonts w:ascii="宋体" w:eastAsia="宋体" w:hAnsi="宋体" w:cs="方正兰亭中黑简体"/>
                <w:b/>
                <w:bCs/>
                <w:noProof/>
              </w:rPr>
              <w:t>2</w:t>
            </w:r>
            <w:r w:rsidR="0059633E" w:rsidRPr="0059633E">
              <w:rPr>
                <w:rStyle w:val="afa"/>
                <w:rFonts w:ascii="宋体" w:eastAsia="宋体" w:hAnsi="宋体" w:cs="方正兰亭中黑简体" w:hint="eastAsia"/>
                <w:b/>
                <w:bCs/>
                <w:noProof/>
              </w:rPr>
              <w:t>）、</w:t>
            </w:r>
            <w:r w:rsidR="0059633E" w:rsidRPr="0059633E">
              <w:rPr>
                <w:rStyle w:val="afa"/>
                <w:rFonts w:ascii="宋体" w:eastAsia="宋体" w:hAnsi="宋体" w:hint="eastAsia"/>
                <w:b/>
                <w:noProof/>
              </w:rPr>
              <w:t>八成城市广义库存同比上升，青岛同比增幅高达</w:t>
            </w:r>
            <w:r w:rsidR="0059633E" w:rsidRPr="0059633E">
              <w:rPr>
                <w:rStyle w:val="afa"/>
                <w:rFonts w:ascii="宋体" w:eastAsia="宋体" w:hAnsi="宋体"/>
                <w:b/>
                <w:noProof/>
              </w:rPr>
              <w:t>36%</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_Toc128583523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11</w:t>
            </w:r>
            <w:r w:rsidR="0059633E" w:rsidRPr="0059633E">
              <w:rPr>
                <w:rFonts w:ascii="宋体" w:eastAsia="宋体" w:hAnsi="宋体"/>
                <w:b/>
                <w:noProof/>
                <w:webHidden/>
              </w:rPr>
              <w:fldChar w:fldCharType="end"/>
            </w:r>
          </w:hyperlink>
        </w:p>
        <w:p w14:paraId="250AF4DA" w14:textId="5B3238C7" w:rsidR="0059633E" w:rsidRPr="0059633E" w:rsidRDefault="000A19D2" w:rsidP="00105D63">
          <w:pPr>
            <w:pStyle w:val="11"/>
            <w:spacing w:line="400" w:lineRule="exact"/>
            <w:rPr>
              <w:rFonts w:ascii="宋体" w:eastAsia="宋体" w:hAnsi="宋体"/>
              <w:noProof/>
            </w:rPr>
          </w:pPr>
          <w:hyperlink w:anchor="_Toc128583524" w:history="1">
            <w:r w:rsidR="0059633E" w:rsidRPr="0059633E">
              <w:rPr>
                <w:rStyle w:val="afa"/>
                <w:rFonts w:ascii="宋体" w:eastAsia="宋体" w:hAnsi="宋体" w:hint="eastAsia"/>
                <w:bCs/>
                <w:noProof/>
              </w:rPr>
              <w:t>二、狭义消化周期超过</w:t>
            </w:r>
            <w:r w:rsidR="0059633E" w:rsidRPr="0059633E">
              <w:rPr>
                <w:rStyle w:val="afa"/>
                <w:rFonts w:ascii="宋体" w:eastAsia="宋体" w:hAnsi="宋体"/>
                <w:bCs/>
                <w:noProof/>
              </w:rPr>
              <w:t>2014</w:t>
            </w:r>
            <w:r w:rsidR="0059633E" w:rsidRPr="0059633E">
              <w:rPr>
                <w:rStyle w:val="afa"/>
                <w:rFonts w:ascii="宋体" w:eastAsia="宋体" w:hAnsi="宋体" w:hint="eastAsia"/>
                <w:bCs/>
                <w:noProof/>
              </w:rPr>
              <w:t>年高点，</w:t>
            </w:r>
            <w:r w:rsidR="0059633E" w:rsidRPr="0059633E">
              <w:rPr>
                <w:rStyle w:val="afa"/>
                <w:rFonts w:ascii="宋体" w:eastAsia="宋体" w:hAnsi="宋体"/>
                <w:bCs/>
                <w:noProof/>
              </w:rPr>
              <w:t xml:space="preserve"> </w:t>
            </w:r>
            <w:r w:rsidR="0059633E" w:rsidRPr="0059633E">
              <w:rPr>
                <w:rStyle w:val="afa"/>
                <w:rFonts w:ascii="宋体" w:eastAsia="宋体" w:hAnsi="宋体" w:hint="eastAsia"/>
                <w:bCs/>
                <w:noProof/>
              </w:rPr>
              <w:t>广义消化周期突破</w:t>
            </w:r>
            <w:r w:rsidR="0059633E" w:rsidRPr="0059633E">
              <w:rPr>
                <w:rStyle w:val="afa"/>
                <w:rFonts w:ascii="宋体" w:eastAsia="宋体" w:hAnsi="宋体"/>
                <w:bCs/>
                <w:noProof/>
              </w:rPr>
              <w:t>3</w:t>
            </w:r>
            <w:r w:rsidR="0059633E" w:rsidRPr="0059633E">
              <w:rPr>
                <w:rStyle w:val="afa"/>
                <w:rFonts w:ascii="宋体" w:eastAsia="宋体" w:hAnsi="宋体" w:hint="eastAsia"/>
                <w:bCs/>
                <w:noProof/>
              </w:rPr>
              <w:t>年</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_Toc128583524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12</w:t>
            </w:r>
            <w:r w:rsidR="0059633E" w:rsidRPr="0059633E">
              <w:rPr>
                <w:rFonts w:ascii="宋体" w:eastAsia="宋体" w:hAnsi="宋体"/>
                <w:noProof/>
                <w:webHidden/>
              </w:rPr>
              <w:fldChar w:fldCharType="end"/>
            </w:r>
          </w:hyperlink>
        </w:p>
        <w:p w14:paraId="3060194D" w14:textId="4647ADDC" w:rsidR="0059633E" w:rsidRPr="0059633E" w:rsidRDefault="000A19D2" w:rsidP="0059633E">
          <w:pPr>
            <w:pStyle w:val="21"/>
            <w:spacing w:line="400" w:lineRule="exact"/>
            <w:rPr>
              <w:rFonts w:ascii="宋体" w:eastAsia="宋体" w:hAnsi="宋体"/>
              <w:noProof/>
            </w:rPr>
          </w:pPr>
          <w:hyperlink w:anchor="_Toc128583525" w:history="1">
            <w:r w:rsidR="0059633E" w:rsidRPr="0059633E">
              <w:rPr>
                <w:rStyle w:val="afa"/>
                <w:rFonts w:ascii="宋体" w:eastAsia="宋体" w:hAnsi="宋体"/>
                <w:noProof/>
              </w:rPr>
              <w:t>1</w:t>
            </w:r>
            <w:r w:rsidR="0059633E" w:rsidRPr="0059633E">
              <w:rPr>
                <w:rStyle w:val="afa"/>
                <w:rFonts w:ascii="宋体" w:eastAsia="宋体" w:hAnsi="宋体" w:hint="eastAsia"/>
                <w:noProof/>
              </w:rPr>
              <w:t>，平均消化周期超过</w:t>
            </w:r>
            <w:r w:rsidR="0059633E" w:rsidRPr="0059633E">
              <w:rPr>
                <w:rStyle w:val="afa"/>
                <w:rFonts w:ascii="宋体" w:eastAsia="宋体" w:hAnsi="宋体"/>
                <w:noProof/>
              </w:rPr>
              <w:t>20</w:t>
            </w:r>
            <w:r w:rsidR="0059633E" w:rsidRPr="0059633E">
              <w:rPr>
                <w:rStyle w:val="afa"/>
                <w:rFonts w:ascii="宋体" w:eastAsia="宋体" w:hAnsi="宋体" w:hint="eastAsia"/>
                <w:noProof/>
              </w:rPr>
              <w:t>个月，一二线中仅四市低于</w:t>
            </w:r>
            <w:r w:rsidR="0059633E" w:rsidRPr="0059633E">
              <w:rPr>
                <w:rStyle w:val="afa"/>
                <w:rFonts w:ascii="宋体" w:eastAsia="宋体" w:hAnsi="宋体"/>
                <w:noProof/>
              </w:rPr>
              <w:t>10</w:t>
            </w:r>
            <w:r w:rsidR="0059633E" w:rsidRPr="0059633E">
              <w:rPr>
                <w:rStyle w:val="afa"/>
                <w:rFonts w:ascii="宋体" w:eastAsia="宋体" w:hAnsi="宋体" w:hint="eastAsia"/>
                <w:noProof/>
              </w:rPr>
              <w:t>个月</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_Toc128583525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13</w:t>
            </w:r>
            <w:r w:rsidR="0059633E" w:rsidRPr="0059633E">
              <w:rPr>
                <w:rFonts w:ascii="宋体" w:eastAsia="宋体" w:hAnsi="宋体"/>
                <w:noProof/>
                <w:webHidden/>
              </w:rPr>
              <w:fldChar w:fldCharType="end"/>
            </w:r>
          </w:hyperlink>
        </w:p>
        <w:p w14:paraId="71B76B19" w14:textId="714E099B" w:rsidR="0059633E" w:rsidRPr="0059633E" w:rsidRDefault="000A19D2" w:rsidP="0059633E">
          <w:pPr>
            <w:pStyle w:val="31"/>
            <w:tabs>
              <w:tab w:val="right" w:leader="dot" w:pos="9060"/>
            </w:tabs>
            <w:spacing w:line="400" w:lineRule="exact"/>
            <w:rPr>
              <w:rFonts w:ascii="宋体" w:eastAsia="宋体" w:hAnsi="宋体"/>
              <w:b/>
              <w:noProof/>
            </w:rPr>
          </w:pPr>
          <w:hyperlink w:anchor="_Toc128583526" w:history="1">
            <w:r w:rsidR="0059633E" w:rsidRPr="0059633E">
              <w:rPr>
                <w:rStyle w:val="afa"/>
                <w:rFonts w:ascii="宋体" w:eastAsia="宋体" w:hAnsi="宋体" w:cs="方正兰亭中黑简体"/>
                <w:b/>
                <w:bCs/>
                <w:noProof/>
              </w:rPr>
              <w:t>1</w:t>
            </w:r>
            <w:r w:rsidR="0059633E" w:rsidRPr="0059633E">
              <w:rPr>
                <w:rStyle w:val="afa"/>
                <w:rFonts w:ascii="宋体" w:eastAsia="宋体" w:hAnsi="宋体" w:cs="方正兰亭中黑简体" w:hint="eastAsia"/>
                <w:b/>
                <w:bCs/>
                <w:noProof/>
              </w:rPr>
              <w:t>）、</w:t>
            </w:r>
            <w:r w:rsidR="0059633E" w:rsidRPr="0059633E">
              <w:rPr>
                <w:rStyle w:val="afa"/>
                <w:rFonts w:ascii="宋体" w:eastAsia="宋体" w:hAnsi="宋体"/>
                <w:b/>
                <w:noProof/>
              </w:rPr>
              <w:t>2022</w:t>
            </w:r>
            <w:r w:rsidR="0059633E" w:rsidRPr="0059633E">
              <w:rPr>
                <w:rStyle w:val="afa"/>
                <w:rFonts w:ascii="宋体" w:eastAsia="宋体" w:hAnsi="宋体" w:hint="eastAsia"/>
                <w:b/>
                <w:noProof/>
              </w:rPr>
              <w:t>年消化周期超过</w:t>
            </w:r>
            <w:r w:rsidR="0059633E" w:rsidRPr="0059633E">
              <w:rPr>
                <w:rStyle w:val="afa"/>
                <w:rFonts w:ascii="宋体" w:eastAsia="宋体" w:hAnsi="宋体"/>
                <w:b/>
                <w:noProof/>
              </w:rPr>
              <w:t>2014</w:t>
            </w:r>
            <w:r w:rsidR="0059633E" w:rsidRPr="0059633E">
              <w:rPr>
                <w:rStyle w:val="afa"/>
                <w:rFonts w:ascii="宋体" w:eastAsia="宋体" w:hAnsi="宋体" w:hint="eastAsia"/>
                <w:b/>
                <w:noProof/>
              </w:rPr>
              <w:t>年高点，突破</w:t>
            </w:r>
            <w:r w:rsidR="0059633E" w:rsidRPr="0059633E">
              <w:rPr>
                <w:rStyle w:val="afa"/>
                <w:rFonts w:ascii="宋体" w:eastAsia="宋体" w:hAnsi="宋体"/>
                <w:b/>
                <w:noProof/>
              </w:rPr>
              <w:t>18</w:t>
            </w:r>
            <w:r w:rsidR="0059633E" w:rsidRPr="0059633E">
              <w:rPr>
                <w:rStyle w:val="afa"/>
                <w:rFonts w:ascii="宋体" w:eastAsia="宋体" w:hAnsi="宋体" w:hint="eastAsia"/>
                <w:b/>
                <w:noProof/>
              </w:rPr>
              <w:t>个月警戒线</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_Toc128583526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13</w:t>
            </w:r>
            <w:r w:rsidR="0059633E" w:rsidRPr="0059633E">
              <w:rPr>
                <w:rFonts w:ascii="宋体" w:eastAsia="宋体" w:hAnsi="宋体"/>
                <w:b/>
                <w:noProof/>
                <w:webHidden/>
              </w:rPr>
              <w:fldChar w:fldCharType="end"/>
            </w:r>
          </w:hyperlink>
        </w:p>
        <w:p w14:paraId="24948CE7" w14:textId="22B86BCA" w:rsidR="0059633E" w:rsidRPr="0059633E" w:rsidRDefault="000A19D2" w:rsidP="0059633E">
          <w:pPr>
            <w:pStyle w:val="31"/>
            <w:tabs>
              <w:tab w:val="right" w:leader="dot" w:pos="9060"/>
            </w:tabs>
            <w:spacing w:line="400" w:lineRule="exact"/>
            <w:rPr>
              <w:rFonts w:ascii="宋体" w:eastAsia="宋体" w:hAnsi="宋体"/>
              <w:b/>
              <w:noProof/>
            </w:rPr>
          </w:pPr>
          <w:hyperlink w:anchor="_Toc128583527" w:history="1">
            <w:r w:rsidR="0059633E" w:rsidRPr="0059633E">
              <w:rPr>
                <w:rStyle w:val="afa"/>
                <w:rFonts w:ascii="宋体" w:eastAsia="宋体" w:hAnsi="宋体" w:cs="方正兰亭中黑简体"/>
                <w:b/>
                <w:bCs/>
                <w:noProof/>
              </w:rPr>
              <w:t>2</w:t>
            </w:r>
            <w:r w:rsidR="0059633E" w:rsidRPr="0059633E">
              <w:rPr>
                <w:rStyle w:val="afa"/>
                <w:rFonts w:ascii="宋体" w:eastAsia="宋体" w:hAnsi="宋体" w:cs="方正兰亭中黑简体" w:hint="eastAsia"/>
                <w:b/>
                <w:bCs/>
                <w:noProof/>
              </w:rPr>
              <w:t>）、</w:t>
            </w:r>
            <w:r w:rsidR="0059633E" w:rsidRPr="0059633E">
              <w:rPr>
                <w:rStyle w:val="afa"/>
                <w:rFonts w:ascii="宋体" w:eastAsia="宋体" w:hAnsi="宋体" w:hint="eastAsia"/>
                <w:b/>
                <w:noProof/>
              </w:rPr>
              <w:t>一线城市消化周期仍低于</w:t>
            </w:r>
            <w:r w:rsidR="0059633E" w:rsidRPr="0059633E">
              <w:rPr>
                <w:rStyle w:val="afa"/>
                <w:rFonts w:ascii="宋体" w:eastAsia="宋体" w:hAnsi="宋体"/>
                <w:b/>
                <w:noProof/>
              </w:rPr>
              <w:t>2014</w:t>
            </w:r>
            <w:r w:rsidR="0059633E" w:rsidRPr="0059633E">
              <w:rPr>
                <w:rStyle w:val="afa"/>
                <w:rFonts w:ascii="宋体" w:eastAsia="宋体" w:hAnsi="宋体" w:hint="eastAsia"/>
                <w:b/>
                <w:noProof/>
              </w:rPr>
              <w:t>年高点，三四线供求信心双双“塌方”消化周期接近</w:t>
            </w:r>
            <w:r w:rsidR="0059633E" w:rsidRPr="0059633E">
              <w:rPr>
                <w:rStyle w:val="afa"/>
                <w:rFonts w:ascii="宋体" w:eastAsia="宋体" w:hAnsi="宋体"/>
                <w:b/>
                <w:noProof/>
              </w:rPr>
              <w:t>2</w:t>
            </w:r>
            <w:r w:rsidR="0059633E" w:rsidRPr="0059633E">
              <w:rPr>
                <w:rStyle w:val="afa"/>
                <w:rFonts w:ascii="宋体" w:eastAsia="宋体" w:hAnsi="宋体" w:hint="eastAsia"/>
                <w:b/>
                <w:noProof/>
              </w:rPr>
              <w:t>年</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_Toc128583527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14</w:t>
            </w:r>
            <w:r w:rsidR="0059633E" w:rsidRPr="0059633E">
              <w:rPr>
                <w:rFonts w:ascii="宋体" w:eastAsia="宋体" w:hAnsi="宋体"/>
                <w:b/>
                <w:noProof/>
                <w:webHidden/>
              </w:rPr>
              <w:fldChar w:fldCharType="end"/>
            </w:r>
          </w:hyperlink>
        </w:p>
        <w:p w14:paraId="71EE4644" w14:textId="1B0B7196" w:rsidR="0059633E" w:rsidRPr="0059633E" w:rsidRDefault="000A19D2" w:rsidP="0059633E">
          <w:pPr>
            <w:pStyle w:val="31"/>
            <w:tabs>
              <w:tab w:val="right" w:leader="dot" w:pos="9060"/>
            </w:tabs>
            <w:spacing w:line="400" w:lineRule="exact"/>
            <w:rPr>
              <w:rFonts w:ascii="宋体" w:eastAsia="宋体" w:hAnsi="宋体"/>
              <w:b/>
              <w:noProof/>
            </w:rPr>
          </w:pPr>
          <w:hyperlink w:anchor="_Toc128583528" w:history="1">
            <w:r w:rsidR="0059633E" w:rsidRPr="0059633E">
              <w:rPr>
                <w:rStyle w:val="afa"/>
                <w:rFonts w:ascii="宋体" w:eastAsia="宋体" w:hAnsi="宋体" w:cs="方正兰亭中黑简体"/>
                <w:b/>
                <w:bCs/>
                <w:noProof/>
              </w:rPr>
              <w:t>3</w:t>
            </w:r>
            <w:r w:rsidR="0059633E" w:rsidRPr="0059633E">
              <w:rPr>
                <w:rStyle w:val="afa"/>
                <w:rFonts w:ascii="宋体" w:eastAsia="宋体" w:hAnsi="宋体" w:cs="方正兰亭中黑简体" w:hint="eastAsia"/>
                <w:b/>
                <w:bCs/>
                <w:noProof/>
              </w:rPr>
              <w:t>）、</w:t>
            </w:r>
            <w:r w:rsidR="0059633E">
              <w:rPr>
                <w:rStyle w:val="afa"/>
                <w:rFonts w:ascii="宋体" w:eastAsia="宋体" w:hAnsi="宋体" w:cs="方正兰亭中黑简体" w:hint="eastAsia"/>
                <w:b/>
                <w:bCs/>
                <w:noProof/>
              </w:rPr>
              <w:t>仍有</w:t>
            </w:r>
            <w:r w:rsidR="0059633E" w:rsidRPr="0059633E">
              <w:rPr>
                <w:rStyle w:val="afa"/>
                <w:rFonts w:ascii="宋体" w:eastAsia="宋体" w:hAnsi="宋体" w:hint="eastAsia"/>
                <w:b/>
                <w:noProof/>
              </w:rPr>
              <w:t>四成城市消化周期低于</w:t>
            </w:r>
            <w:r w:rsidR="0059633E" w:rsidRPr="0059633E">
              <w:rPr>
                <w:rStyle w:val="afa"/>
                <w:rFonts w:ascii="宋体" w:eastAsia="宋体" w:hAnsi="宋体"/>
                <w:b/>
                <w:noProof/>
              </w:rPr>
              <w:t>2014</w:t>
            </w:r>
            <w:r w:rsidR="0059633E" w:rsidRPr="0059633E">
              <w:rPr>
                <w:rStyle w:val="afa"/>
                <w:rFonts w:ascii="宋体" w:eastAsia="宋体" w:hAnsi="宋体" w:hint="eastAsia"/>
                <w:b/>
                <w:noProof/>
              </w:rPr>
              <w:t>年，杭州同比增</w:t>
            </w:r>
            <w:r w:rsidR="0059633E" w:rsidRPr="0059633E">
              <w:rPr>
                <w:rStyle w:val="afa"/>
                <w:rFonts w:ascii="宋体" w:eastAsia="宋体" w:hAnsi="宋体"/>
                <w:b/>
                <w:noProof/>
              </w:rPr>
              <w:t>163%</w:t>
            </w:r>
            <w:r w:rsidR="0059633E" w:rsidRPr="0059633E">
              <w:rPr>
                <w:rStyle w:val="afa"/>
                <w:rFonts w:ascii="宋体" w:eastAsia="宋体" w:hAnsi="宋体" w:hint="eastAsia"/>
                <w:b/>
                <w:noProof/>
              </w:rPr>
              <w:t>仍低于</w:t>
            </w:r>
            <w:r w:rsidR="0059633E" w:rsidRPr="0059633E">
              <w:rPr>
                <w:rStyle w:val="afa"/>
                <w:rFonts w:ascii="宋体" w:eastAsia="宋体" w:hAnsi="宋体"/>
                <w:b/>
                <w:noProof/>
              </w:rPr>
              <w:t>10</w:t>
            </w:r>
            <w:r w:rsidR="0059633E" w:rsidRPr="0059633E">
              <w:rPr>
                <w:rStyle w:val="afa"/>
                <w:rFonts w:ascii="宋体" w:eastAsia="宋体" w:hAnsi="宋体" w:hint="eastAsia"/>
                <w:b/>
                <w:noProof/>
              </w:rPr>
              <w:t>个月</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_Toc128583528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15</w:t>
            </w:r>
            <w:r w:rsidR="0059633E" w:rsidRPr="0059633E">
              <w:rPr>
                <w:rFonts w:ascii="宋体" w:eastAsia="宋体" w:hAnsi="宋体"/>
                <w:b/>
                <w:noProof/>
                <w:webHidden/>
              </w:rPr>
              <w:fldChar w:fldCharType="end"/>
            </w:r>
          </w:hyperlink>
        </w:p>
        <w:p w14:paraId="5D0AA26D" w14:textId="2E3260B5" w:rsidR="0059633E" w:rsidRPr="0059633E" w:rsidRDefault="000A19D2" w:rsidP="0059633E">
          <w:pPr>
            <w:pStyle w:val="21"/>
            <w:spacing w:line="400" w:lineRule="exact"/>
            <w:rPr>
              <w:rFonts w:ascii="宋体" w:eastAsia="宋体" w:hAnsi="宋体"/>
              <w:noProof/>
            </w:rPr>
          </w:pPr>
          <w:hyperlink w:anchor="_Toc128583529" w:history="1">
            <w:r w:rsidR="0059633E" w:rsidRPr="0059633E">
              <w:rPr>
                <w:rStyle w:val="afa"/>
                <w:rFonts w:ascii="宋体" w:eastAsia="宋体" w:hAnsi="宋体"/>
                <w:noProof/>
              </w:rPr>
              <w:t>2</w:t>
            </w:r>
            <w:r w:rsidR="0059633E" w:rsidRPr="0059633E">
              <w:rPr>
                <w:rStyle w:val="afa"/>
                <w:rFonts w:ascii="宋体" w:eastAsia="宋体" w:hAnsi="宋体" w:hint="eastAsia"/>
                <w:noProof/>
              </w:rPr>
              <w:t>，</w:t>
            </w:r>
            <w:r w:rsidR="0059633E" w:rsidRPr="0059633E">
              <w:rPr>
                <w:rStyle w:val="afa"/>
                <w:rFonts w:ascii="宋体" w:eastAsia="宋体" w:hAnsi="宋体"/>
                <w:noProof/>
              </w:rPr>
              <w:t>2022</w:t>
            </w:r>
            <w:r w:rsidR="0059633E" w:rsidRPr="0059633E">
              <w:rPr>
                <w:rStyle w:val="afa"/>
                <w:rFonts w:ascii="宋体" w:eastAsia="宋体" w:hAnsi="宋体" w:hint="eastAsia"/>
                <w:noProof/>
              </w:rPr>
              <w:t>年广义消化周期骤增</w:t>
            </w:r>
            <w:r w:rsidR="0059633E" w:rsidRPr="0059633E">
              <w:rPr>
                <w:rStyle w:val="afa"/>
                <w:rFonts w:ascii="宋体" w:eastAsia="宋体" w:hAnsi="宋体"/>
                <w:noProof/>
              </w:rPr>
              <w:t>66%</w:t>
            </w:r>
            <w:r w:rsidR="0059633E" w:rsidRPr="0059633E">
              <w:rPr>
                <w:rStyle w:val="afa"/>
                <w:rFonts w:ascii="宋体" w:eastAsia="宋体" w:hAnsi="宋体" w:hint="eastAsia"/>
                <w:noProof/>
              </w:rPr>
              <w:t>，仅四市广义消化周期低于</w:t>
            </w:r>
            <w:r w:rsidR="0059633E" w:rsidRPr="0059633E">
              <w:rPr>
                <w:rStyle w:val="afa"/>
                <w:rFonts w:ascii="宋体" w:eastAsia="宋体" w:hAnsi="宋体"/>
                <w:noProof/>
              </w:rPr>
              <w:t>3</w:t>
            </w:r>
            <w:r w:rsidR="0059633E" w:rsidRPr="0059633E">
              <w:rPr>
                <w:rStyle w:val="afa"/>
                <w:rFonts w:ascii="宋体" w:eastAsia="宋体" w:hAnsi="宋体" w:hint="eastAsia"/>
                <w:noProof/>
              </w:rPr>
              <w:t>年</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_Toc128583529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17</w:t>
            </w:r>
            <w:r w:rsidR="0059633E" w:rsidRPr="0059633E">
              <w:rPr>
                <w:rFonts w:ascii="宋体" w:eastAsia="宋体" w:hAnsi="宋体"/>
                <w:noProof/>
                <w:webHidden/>
              </w:rPr>
              <w:fldChar w:fldCharType="end"/>
            </w:r>
          </w:hyperlink>
        </w:p>
        <w:p w14:paraId="7C0615DF" w14:textId="7918C6EC" w:rsidR="0059633E" w:rsidRPr="0059633E" w:rsidRDefault="000A19D2" w:rsidP="0059633E">
          <w:pPr>
            <w:pStyle w:val="31"/>
            <w:tabs>
              <w:tab w:val="right" w:leader="dot" w:pos="9060"/>
            </w:tabs>
            <w:spacing w:line="400" w:lineRule="exact"/>
            <w:rPr>
              <w:rFonts w:ascii="宋体" w:eastAsia="宋体" w:hAnsi="宋体"/>
              <w:b/>
              <w:noProof/>
            </w:rPr>
          </w:pPr>
          <w:hyperlink w:anchor="_Toc128583530" w:history="1">
            <w:r w:rsidR="0059633E" w:rsidRPr="0059633E">
              <w:rPr>
                <w:rStyle w:val="afa"/>
                <w:rFonts w:ascii="宋体" w:eastAsia="宋体" w:hAnsi="宋体" w:cs="方正兰亭中黑简体"/>
                <w:b/>
                <w:bCs/>
                <w:noProof/>
              </w:rPr>
              <w:t>1</w:t>
            </w:r>
            <w:r w:rsidR="0059633E" w:rsidRPr="0059633E">
              <w:rPr>
                <w:rStyle w:val="afa"/>
                <w:rFonts w:ascii="宋体" w:eastAsia="宋体" w:hAnsi="宋体" w:cs="方正兰亭中黑简体" w:hint="eastAsia"/>
                <w:b/>
                <w:bCs/>
                <w:noProof/>
              </w:rPr>
              <w:t>）、</w:t>
            </w:r>
            <w:r w:rsidR="0059633E" w:rsidRPr="0059633E">
              <w:rPr>
                <w:rStyle w:val="afa"/>
                <w:rFonts w:ascii="宋体" w:eastAsia="宋体" w:hAnsi="宋体" w:hint="eastAsia"/>
                <w:b/>
                <w:noProof/>
              </w:rPr>
              <w:t>一线城市广义消化周期仍与</w:t>
            </w:r>
            <w:r w:rsidR="0059633E" w:rsidRPr="0059633E">
              <w:rPr>
                <w:rStyle w:val="afa"/>
                <w:rFonts w:ascii="宋体" w:eastAsia="宋体" w:hAnsi="宋体"/>
                <w:b/>
                <w:noProof/>
              </w:rPr>
              <w:t>2019</w:t>
            </w:r>
            <w:r w:rsidR="0059633E" w:rsidRPr="0059633E">
              <w:rPr>
                <w:rStyle w:val="afa"/>
                <w:rFonts w:ascii="宋体" w:eastAsia="宋体" w:hAnsi="宋体" w:hint="eastAsia"/>
                <w:b/>
                <w:noProof/>
              </w:rPr>
              <w:t>年末持平，三四线平均需</w:t>
            </w:r>
            <w:r w:rsidR="0059633E" w:rsidRPr="0059633E">
              <w:rPr>
                <w:rStyle w:val="afa"/>
                <w:rFonts w:ascii="宋体" w:eastAsia="宋体" w:hAnsi="宋体"/>
                <w:b/>
                <w:noProof/>
              </w:rPr>
              <w:t>8</w:t>
            </w:r>
            <w:r w:rsidR="0059633E" w:rsidRPr="0059633E">
              <w:rPr>
                <w:rStyle w:val="afa"/>
                <w:rFonts w:ascii="宋体" w:eastAsia="宋体" w:hAnsi="宋体" w:hint="eastAsia"/>
                <w:b/>
                <w:noProof/>
              </w:rPr>
              <w:t>年方可去化完毕</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_Toc128583530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17</w:t>
            </w:r>
            <w:r w:rsidR="0059633E" w:rsidRPr="0059633E">
              <w:rPr>
                <w:rFonts w:ascii="宋体" w:eastAsia="宋体" w:hAnsi="宋体"/>
                <w:b/>
                <w:noProof/>
                <w:webHidden/>
              </w:rPr>
              <w:fldChar w:fldCharType="end"/>
            </w:r>
          </w:hyperlink>
        </w:p>
        <w:p w14:paraId="108209E5" w14:textId="3E861226" w:rsidR="0059633E" w:rsidRPr="0059633E" w:rsidRDefault="000A19D2" w:rsidP="0059633E">
          <w:pPr>
            <w:pStyle w:val="31"/>
            <w:tabs>
              <w:tab w:val="right" w:leader="dot" w:pos="9060"/>
            </w:tabs>
            <w:spacing w:line="400" w:lineRule="exact"/>
            <w:rPr>
              <w:rFonts w:ascii="宋体" w:eastAsia="宋体" w:hAnsi="宋体"/>
              <w:b/>
              <w:noProof/>
            </w:rPr>
          </w:pPr>
          <w:hyperlink w:anchor="_Toc128583531" w:history="1">
            <w:r w:rsidR="0059633E" w:rsidRPr="0059633E">
              <w:rPr>
                <w:rStyle w:val="afa"/>
                <w:rFonts w:ascii="宋体" w:eastAsia="宋体" w:hAnsi="宋体" w:cs="方正兰亭中黑简体"/>
                <w:b/>
                <w:bCs/>
                <w:noProof/>
              </w:rPr>
              <w:t>2</w:t>
            </w:r>
            <w:r w:rsidR="0059633E" w:rsidRPr="0059633E">
              <w:rPr>
                <w:rStyle w:val="afa"/>
                <w:rFonts w:ascii="宋体" w:eastAsia="宋体" w:hAnsi="宋体" w:cs="方正兰亭中黑简体" w:hint="eastAsia"/>
                <w:b/>
                <w:bCs/>
                <w:noProof/>
              </w:rPr>
              <w:t>）、</w:t>
            </w:r>
            <w:r w:rsidR="0059633E" w:rsidRPr="0059633E">
              <w:rPr>
                <w:rStyle w:val="afa"/>
                <w:rFonts w:ascii="宋体" w:eastAsia="宋体" w:hAnsi="宋体" w:hint="eastAsia"/>
                <w:b/>
                <w:noProof/>
              </w:rPr>
              <w:t>近一半城市广义消化周期高于</w:t>
            </w:r>
            <w:r w:rsidR="0059633E" w:rsidRPr="0059633E">
              <w:rPr>
                <w:rStyle w:val="afa"/>
                <w:rFonts w:ascii="宋体" w:eastAsia="宋体" w:hAnsi="宋体"/>
                <w:b/>
                <w:noProof/>
              </w:rPr>
              <w:t>6</w:t>
            </w:r>
            <w:r w:rsidR="0059633E" w:rsidRPr="0059633E">
              <w:rPr>
                <w:rStyle w:val="afa"/>
                <w:rFonts w:ascii="宋体" w:eastAsia="宋体" w:hAnsi="宋体" w:hint="eastAsia"/>
                <w:b/>
                <w:noProof/>
              </w:rPr>
              <w:t>年，重庆同比增三倍达到</w:t>
            </w:r>
            <w:r w:rsidR="0059633E" w:rsidRPr="0059633E">
              <w:rPr>
                <w:rStyle w:val="afa"/>
                <w:rFonts w:ascii="宋体" w:eastAsia="宋体" w:hAnsi="宋体"/>
                <w:b/>
                <w:noProof/>
              </w:rPr>
              <w:t>10</w:t>
            </w:r>
            <w:r w:rsidR="0059633E" w:rsidRPr="0059633E">
              <w:rPr>
                <w:rStyle w:val="afa"/>
                <w:rFonts w:ascii="宋体" w:eastAsia="宋体" w:hAnsi="宋体" w:hint="eastAsia"/>
                <w:b/>
                <w:noProof/>
              </w:rPr>
              <w:t>年</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_Toc128583531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18</w:t>
            </w:r>
            <w:r w:rsidR="0059633E" w:rsidRPr="0059633E">
              <w:rPr>
                <w:rFonts w:ascii="宋体" w:eastAsia="宋体" w:hAnsi="宋体"/>
                <w:b/>
                <w:noProof/>
                <w:webHidden/>
              </w:rPr>
              <w:fldChar w:fldCharType="end"/>
            </w:r>
          </w:hyperlink>
        </w:p>
        <w:p w14:paraId="67C24FA9" w14:textId="32BBC4FC" w:rsidR="0059633E" w:rsidRPr="0059633E" w:rsidRDefault="000A19D2" w:rsidP="00105D63">
          <w:pPr>
            <w:pStyle w:val="11"/>
            <w:spacing w:line="400" w:lineRule="exact"/>
            <w:rPr>
              <w:rFonts w:ascii="宋体" w:eastAsia="宋体" w:hAnsi="宋体"/>
              <w:noProof/>
            </w:rPr>
          </w:pPr>
          <w:hyperlink w:anchor="_Toc128583532" w:history="1">
            <w:r w:rsidR="0059633E" w:rsidRPr="0059633E">
              <w:rPr>
                <w:rStyle w:val="afa"/>
                <w:rFonts w:ascii="宋体" w:eastAsia="宋体" w:hAnsi="宋体" w:hint="eastAsia"/>
                <w:bCs/>
                <w:noProof/>
              </w:rPr>
              <w:t>三、小面积一房、两房库存积压，</w:t>
            </w:r>
            <w:r w:rsidR="0059633E" w:rsidRPr="0059633E">
              <w:rPr>
                <w:rStyle w:val="afa"/>
                <w:rFonts w:ascii="宋体" w:eastAsia="宋体" w:hAnsi="宋体"/>
                <w:bCs/>
                <w:noProof/>
              </w:rPr>
              <w:t xml:space="preserve"> </w:t>
            </w:r>
            <w:r w:rsidR="0059633E" w:rsidRPr="0059633E">
              <w:rPr>
                <w:rStyle w:val="afa"/>
                <w:rFonts w:ascii="宋体" w:eastAsia="宋体" w:hAnsi="宋体" w:hint="eastAsia"/>
                <w:bCs/>
                <w:noProof/>
              </w:rPr>
              <w:t>中大面积三四房去化相对顺畅</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_Toc128583532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19</w:t>
            </w:r>
            <w:r w:rsidR="0059633E" w:rsidRPr="0059633E">
              <w:rPr>
                <w:rFonts w:ascii="宋体" w:eastAsia="宋体" w:hAnsi="宋体"/>
                <w:noProof/>
                <w:webHidden/>
              </w:rPr>
              <w:fldChar w:fldCharType="end"/>
            </w:r>
          </w:hyperlink>
        </w:p>
        <w:p w14:paraId="2476EC73" w14:textId="2EEB0BCA" w:rsidR="0059633E" w:rsidRPr="0059633E" w:rsidRDefault="000A19D2" w:rsidP="0059633E">
          <w:pPr>
            <w:pStyle w:val="21"/>
            <w:spacing w:line="400" w:lineRule="exact"/>
            <w:rPr>
              <w:rFonts w:ascii="宋体" w:eastAsia="宋体" w:hAnsi="宋体"/>
              <w:noProof/>
            </w:rPr>
          </w:pPr>
          <w:hyperlink w:anchor="_Toc128583533" w:history="1">
            <w:r w:rsidR="0059633E" w:rsidRPr="0059633E">
              <w:rPr>
                <w:rStyle w:val="afa"/>
                <w:rFonts w:ascii="宋体" w:eastAsia="宋体" w:hAnsi="宋体"/>
                <w:noProof/>
              </w:rPr>
              <w:t>1</w:t>
            </w:r>
            <w:r w:rsidR="0059633E" w:rsidRPr="0059633E">
              <w:rPr>
                <w:rStyle w:val="afa"/>
                <w:rFonts w:ascii="宋体" w:eastAsia="宋体" w:hAnsi="宋体" w:hint="eastAsia"/>
                <w:noProof/>
              </w:rPr>
              <w:t>，面积段：小面积产品供需两弱库存积压，中大户型表现更稳定</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_Toc128583533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19</w:t>
            </w:r>
            <w:r w:rsidR="0059633E" w:rsidRPr="0059633E">
              <w:rPr>
                <w:rFonts w:ascii="宋体" w:eastAsia="宋体" w:hAnsi="宋体"/>
                <w:noProof/>
                <w:webHidden/>
              </w:rPr>
              <w:fldChar w:fldCharType="end"/>
            </w:r>
          </w:hyperlink>
        </w:p>
        <w:p w14:paraId="0159BA65" w14:textId="6E83963C" w:rsidR="0059633E" w:rsidRPr="0059633E" w:rsidRDefault="000A19D2" w:rsidP="0059633E">
          <w:pPr>
            <w:pStyle w:val="31"/>
            <w:tabs>
              <w:tab w:val="right" w:leader="dot" w:pos="9060"/>
            </w:tabs>
            <w:spacing w:line="400" w:lineRule="exact"/>
            <w:rPr>
              <w:rFonts w:ascii="宋体" w:eastAsia="宋体" w:hAnsi="宋体"/>
              <w:b/>
              <w:noProof/>
            </w:rPr>
          </w:pPr>
          <w:hyperlink w:anchor="_Toc128583534" w:history="1">
            <w:r w:rsidR="0059633E" w:rsidRPr="0059633E">
              <w:rPr>
                <w:rStyle w:val="afa"/>
                <w:rFonts w:ascii="宋体" w:eastAsia="宋体" w:hAnsi="宋体" w:cs="方正兰亭中黑简体"/>
                <w:b/>
                <w:bCs/>
                <w:noProof/>
              </w:rPr>
              <w:t>1</w:t>
            </w:r>
            <w:r w:rsidR="0059633E" w:rsidRPr="0059633E">
              <w:rPr>
                <w:rStyle w:val="afa"/>
                <w:rFonts w:ascii="宋体" w:eastAsia="宋体" w:hAnsi="宋体" w:cs="方正兰亭中黑简体" w:hint="eastAsia"/>
                <w:b/>
                <w:bCs/>
                <w:noProof/>
              </w:rPr>
              <w:t>）、能级：小户型库存占比下降但消化周期拉长，一二线</w:t>
            </w:r>
            <w:r w:rsidR="0059633E" w:rsidRPr="0059633E">
              <w:rPr>
                <w:rStyle w:val="afa"/>
                <w:rFonts w:ascii="宋体" w:eastAsia="宋体" w:hAnsi="宋体" w:cs="方正兰亭中黑简体"/>
                <w:b/>
                <w:bCs/>
                <w:noProof/>
              </w:rPr>
              <w:t>100-180</w:t>
            </w:r>
            <w:r w:rsidR="0059633E" w:rsidRPr="0059633E">
              <w:rPr>
                <w:rStyle w:val="afa"/>
                <w:rFonts w:ascii="宋体" w:eastAsia="宋体" w:hAnsi="宋体" w:cs="方正兰亭中黑简体" w:hint="eastAsia"/>
                <w:b/>
                <w:bCs/>
                <w:noProof/>
              </w:rPr>
              <w:t>㎡去化压力更可控</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_Toc128583534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19</w:t>
            </w:r>
            <w:r w:rsidR="0059633E" w:rsidRPr="0059633E">
              <w:rPr>
                <w:rFonts w:ascii="宋体" w:eastAsia="宋体" w:hAnsi="宋体"/>
                <w:b/>
                <w:noProof/>
                <w:webHidden/>
              </w:rPr>
              <w:fldChar w:fldCharType="end"/>
            </w:r>
          </w:hyperlink>
        </w:p>
        <w:p w14:paraId="6A505429" w14:textId="0B2BB968" w:rsidR="0059633E" w:rsidRPr="0059633E" w:rsidRDefault="000A19D2" w:rsidP="0059633E">
          <w:pPr>
            <w:pStyle w:val="31"/>
            <w:tabs>
              <w:tab w:val="right" w:leader="dot" w:pos="9060"/>
            </w:tabs>
            <w:spacing w:line="400" w:lineRule="exact"/>
            <w:rPr>
              <w:rFonts w:ascii="宋体" w:eastAsia="宋体" w:hAnsi="宋体"/>
              <w:b/>
              <w:noProof/>
            </w:rPr>
          </w:pPr>
          <w:hyperlink w:anchor="_Toc128583535" w:history="1">
            <w:r w:rsidR="0059633E" w:rsidRPr="0059633E">
              <w:rPr>
                <w:rStyle w:val="afa"/>
                <w:rFonts w:ascii="宋体" w:eastAsia="宋体" w:hAnsi="宋体" w:cs="方正兰亭中黑简体"/>
                <w:b/>
                <w:bCs/>
                <w:noProof/>
              </w:rPr>
              <w:t>2</w:t>
            </w:r>
            <w:r w:rsidR="0059633E" w:rsidRPr="0059633E">
              <w:rPr>
                <w:rStyle w:val="afa"/>
                <w:rFonts w:ascii="宋体" w:eastAsia="宋体" w:hAnsi="宋体" w:cs="方正兰亭中黑简体" w:hint="eastAsia"/>
                <w:b/>
                <w:bCs/>
                <w:noProof/>
              </w:rPr>
              <w:t>）、城市：</w:t>
            </w:r>
            <w:r w:rsidR="0059633E" w:rsidRPr="0059633E">
              <w:rPr>
                <w:rStyle w:val="afa"/>
                <w:rFonts w:ascii="宋体" w:eastAsia="宋体" w:hAnsi="宋体" w:cs="方正兰亭中黑简体"/>
                <w:b/>
                <w:bCs/>
                <w:noProof/>
              </w:rPr>
              <w:t>100-120</w:t>
            </w:r>
            <w:r w:rsidR="0059633E" w:rsidRPr="0059633E">
              <w:rPr>
                <w:rStyle w:val="afa"/>
                <w:rFonts w:ascii="宋体" w:eastAsia="宋体" w:hAnsi="宋体" w:cs="方正兰亭中黑简体" w:hint="eastAsia"/>
                <w:b/>
                <w:bCs/>
                <w:noProof/>
              </w:rPr>
              <w:t>㎡安全系数最高、亦是库存主力，嘉兴、莆田等整体无虞但结构性承压</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_Toc128583535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21</w:t>
            </w:r>
            <w:r w:rsidR="0059633E" w:rsidRPr="0059633E">
              <w:rPr>
                <w:rFonts w:ascii="宋体" w:eastAsia="宋体" w:hAnsi="宋体"/>
                <w:b/>
                <w:noProof/>
                <w:webHidden/>
              </w:rPr>
              <w:fldChar w:fldCharType="end"/>
            </w:r>
          </w:hyperlink>
        </w:p>
        <w:p w14:paraId="26B98DD3" w14:textId="3DA8FE4B" w:rsidR="0059633E" w:rsidRPr="0059633E" w:rsidRDefault="000A19D2" w:rsidP="0059633E">
          <w:pPr>
            <w:pStyle w:val="21"/>
            <w:spacing w:line="400" w:lineRule="exact"/>
            <w:rPr>
              <w:rFonts w:ascii="宋体" w:eastAsia="宋体" w:hAnsi="宋体"/>
              <w:noProof/>
            </w:rPr>
          </w:pPr>
          <w:hyperlink w:anchor="_Toc128583536" w:history="1">
            <w:r w:rsidR="0059633E" w:rsidRPr="0059633E">
              <w:rPr>
                <w:rStyle w:val="afa"/>
                <w:rFonts w:ascii="宋体" w:eastAsia="宋体" w:hAnsi="宋体"/>
                <w:noProof/>
              </w:rPr>
              <w:t>2</w:t>
            </w:r>
            <w:r w:rsidR="0059633E" w:rsidRPr="0059633E">
              <w:rPr>
                <w:rStyle w:val="afa"/>
                <w:rFonts w:ascii="宋体" w:eastAsia="宋体" w:hAnsi="宋体" w:hint="eastAsia"/>
                <w:noProof/>
              </w:rPr>
              <w:t>，户型：三四房占比高但去化压力可控，一二房、五房两头承压</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_Toc128583536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23</w:t>
            </w:r>
            <w:r w:rsidR="0059633E" w:rsidRPr="0059633E">
              <w:rPr>
                <w:rFonts w:ascii="宋体" w:eastAsia="宋体" w:hAnsi="宋体"/>
                <w:noProof/>
                <w:webHidden/>
              </w:rPr>
              <w:fldChar w:fldCharType="end"/>
            </w:r>
          </w:hyperlink>
        </w:p>
        <w:p w14:paraId="3782B04B" w14:textId="332860EB" w:rsidR="0059633E" w:rsidRPr="0059633E" w:rsidRDefault="000A19D2" w:rsidP="0059633E">
          <w:pPr>
            <w:pStyle w:val="31"/>
            <w:tabs>
              <w:tab w:val="right" w:leader="dot" w:pos="9060"/>
            </w:tabs>
            <w:spacing w:line="400" w:lineRule="exact"/>
            <w:rPr>
              <w:rFonts w:ascii="宋体" w:eastAsia="宋体" w:hAnsi="宋体"/>
              <w:b/>
              <w:noProof/>
            </w:rPr>
          </w:pPr>
          <w:hyperlink w:anchor="_Toc128583537" w:history="1">
            <w:r w:rsidR="0059633E" w:rsidRPr="0059633E">
              <w:rPr>
                <w:rStyle w:val="afa"/>
                <w:rFonts w:ascii="宋体" w:eastAsia="宋体" w:hAnsi="宋体" w:cs="方正兰亭中黑简体"/>
                <w:b/>
                <w:bCs/>
                <w:noProof/>
              </w:rPr>
              <w:t>1</w:t>
            </w:r>
            <w:r w:rsidR="0059633E" w:rsidRPr="0059633E">
              <w:rPr>
                <w:rStyle w:val="afa"/>
                <w:rFonts w:ascii="宋体" w:eastAsia="宋体" w:hAnsi="宋体" w:cs="方正兰亭中黑简体" w:hint="eastAsia"/>
                <w:b/>
                <w:bCs/>
                <w:noProof/>
              </w:rPr>
              <w:t>）、能级：一线一房库存压力凸显，二三线一房、两房难去化，三四线别墅库存积压</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_Toc128583537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24</w:t>
            </w:r>
            <w:r w:rsidR="0059633E" w:rsidRPr="0059633E">
              <w:rPr>
                <w:rFonts w:ascii="宋体" w:eastAsia="宋体" w:hAnsi="宋体"/>
                <w:b/>
                <w:noProof/>
                <w:webHidden/>
              </w:rPr>
              <w:fldChar w:fldCharType="end"/>
            </w:r>
          </w:hyperlink>
        </w:p>
        <w:p w14:paraId="2BB20284" w14:textId="3676A3DF" w:rsidR="0059633E" w:rsidRPr="0059633E" w:rsidRDefault="000A19D2" w:rsidP="0059633E">
          <w:pPr>
            <w:pStyle w:val="31"/>
            <w:tabs>
              <w:tab w:val="right" w:leader="dot" w:pos="9060"/>
            </w:tabs>
            <w:spacing w:line="400" w:lineRule="exact"/>
            <w:rPr>
              <w:rFonts w:ascii="宋体" w:eastAsia="宋体" w:hAnsi="宋体"/>
              <w:b/>
              <w:noProof/>
            </w:rPr>
          </w:pPr>
          <w:hyperlink w:anchor="_Toc128583538" w:history="1">
            <w:r w:rsidR="0059633E" w:rsidRPr="0059633E">
              <w:rPr>
                <w:rStyle w:val="afa"/>
                <w:rFonts w:ascii="宋体" w:eastAsia="宋体" w:hAnsi="宋体" w:cs="方正兰亭中黑简体"/>
                <w:b/>
                <w:bCs/>
                <w:noProof/>
              </w:rPr>
              <w:t>2</w:t>
            </w:r>
            <w:r w:rsidR="0059633E" w:rsidRPr="0059633E">
              <w:rPr>
                <w:rStyle w:val="afa"/>
                <w:rFonts w:ascii="宋体" w:eastAsia="宋体" w:hAnsi="宋体" w:cs="方正兰亭中黑简体" w:hint="eastAsia"/>
                <w:b/>
                <w:bCs/>
                <w:noProof/>
              </w:rPr>
              <w:t>）、城市：一二房产品库存压力高企，惠州、梅州等地三、四房去化周期超</w:t>
            </w:r>
            <w:r w:rsidR="0059633E" w:rsidRPr="0059633E">
              <w:rPr>
                <w:rStyle w:val="afa"/>
                <w:rFonts w:ascii="宋体" w:eastAsia="宋体" w:hAnsi="宋体" w:cs="方正兰亭中黑简体"/>
                <w:b/>
                <w:bCs/>
                <w:noProof/>
              </w:rPr>
              <w:t>30</w:t>
            </w:r>
            <w:r w:rsidR="0059633E" w:rsidRPr="0059633E">
              <w:rPr>
                <w:rStyle w:val="afa"/>
                <w:rFonts w:ascii="宋体" w:eastAsia="宋体" w:hAnsi="宋体" w:cs="方正兰亭中黑简体" w:hint="eastAsia"/>
                <w:b/>
                <w:bCs/>
                <w:noProof/>
              </w:rPr>
              <w:t>个月</w:t>
            </w:r>
            <w:r w:rsidR="0059633E" w:rsidRPr="0059633E">
              <w:rPr>
                <w:rFonts w:ascii="宋体" w:eastAsia="宋体" w:hAnsi="宋体"/>
                <w:b/>
                <w:noProof/>
                <w:webHidden/>
              </w:rPr>
              <w:tab/>
            </w:r>
            <w:r w:rsidR="0059633E" w:rsidRPr="0059633E">
              <w:rPr>
                <w:rFonts w:ascii="宋体" w:eastAsia="宋体" w:hAnsi="宋体"/>
                <w:b/>
                <w:noProof/>
                <w:webHidden/>
              </w:rPr>
              <w:fldChar w:fldCharType="begin"/>
            </w:r>
            <w:r w:rsidR="0059633E" w:rsidRPr="0059633E">
              <w:rPr>
                <w:rFonts w:ascii="宋体" w:eastAsia="宋体" w:hAnsi="宋体"/>
                <w:b/>
                <w:noProof/>
                <w:webHidden/>
              </w:rPr>
              <w:instrText xml:space="preserve"> PAGEREF _Toc128583538 \h </w:instrText>
            </w:r>
            <w:r w:rsidR="0059633E" w:rsidRPr="0059633E">
              <w:rPr>
                <w:rFonts w:ascii="宋体" w:eastAsia="宋体" w:hAnsi="宋体"/>
                <w:b/>
                <w:noProof/>
                <w:webHidden/>
              </w:rPr>
            </w:r>
            <w:r w:rsidR="0059633E" w:rsidRPr="0059633E">
              <w:rPr>
                <w:rFonts w:ascii="宋体" w:eastAsia="宋体" w:hAnsi="宋体"/>
                <w:b/>
                <w:noProof/>
                <w:webHidden/>
              </w:rPr>
              <w:fldChar w:fldCharType="separate"/>
            </w:r>
            <w:r w:rsidR="00D80C3E">
              <w:rPr>
                <w:rFonts w:ascii="宋体" w:eastAsia="宋体" w:hAnsi="宋体"/>
                <w:b/>
                <w:noProof/>
                <w:webHidden/>
              </w:rPr>
              <w:t>26</w:t>
            </w:r>
            <w:r w:rsidR="0059633E" w:rsidRPr="0059633E">
              <w:rPr>
                <w:rFonts w:ascii="宋体" w:eastAsia="宋体" w:hAnsi="宋体"/>
                <w:b/>
                <w:noProof/>
                <w:webHidden/>
              </w:rPr>
              <w:fldChar w:fldCharType="end"/>
            </w:r>
          </w:hyperlink>
        </w:p>
        <w:p w14:paraId="6717508D" w14:textId="4B5B3C5D" w:rsidR="0059633E" w:rsidRPr="0059633E" w:rsidRDefault="000A19D2" w:rsidP="00105D63">
          <w:pPr>
            <w:pStyle w:val="11"/>
            <w:spacing w:line="400" w:lineRule="exact"/>
            <w:rPr>
              <w:rFonts w:ascii="宋体" w:eastAsia="宋体" w:hAnsi="宋体"/>
              <w:noProof/>
            </w:rPr>
          </w:pPr>
          <w:hyperlink w:anchor="_Toc128583539" w:history="1">
            <w:r w:rsidR="0059633E" w:rsidRPr="0059633E">
              <w:rPr>
                <w:rStyle w:val="afa"/>
                <w:rFonts w:ascii="宋体" w:eastAsia="宋体" w:hAnsi="宋体" w:hint="eastAsia"/>
                <w:bCs/>
                <w:noProof/>
              </w:rPr>
              <w:t>四，总结与展望</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_Toc128583539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28</w:t>
            </w:r>
            <w:r w:rsidR="0059633E" w:rsidRPr="0059633E">
              <w:rPr>
                <w:rFonts w:ascii="宋体" w:eastAsia="宋体" w:hAnsi="宋体"/>
                <w:noProof/>
                <w:webHidden/>
              </w:rPr>
              <w:fldChar w:fldCharType="end"/>
            </w:r>
          </w:hyperlink>
        </w:p>
        <w:p w14:paraId="047A1FD2" w14:textId="39338649" w:rsidR="0059633E" w:rsidRPr="0059633E" w:rsidRDefault="000A19D2" w:rsidP="0059633E">
          <w:pPr>
            <w:pStyle w:val="21"/>
            <w:spacing w:line="400" w:lineRule="exact"/>
            <w:rPr>
              <w:rFonts w:ascii="宋体" w:eastAsia="宋体" w:hAnsi="宋体"/>
              <w:noProof/>
            </w:rPr>
          </w:pPr>
          <w:hyperlink w:anchor="_Toc128583540" w:history="1">
            <w:r w:rsidR="0059633E" w:rsidRPr="0059633E">
              <w:rPr>
                <w:rStyle w:val="afa"/>
                <w:rFonts w:ascii="宋体" w:eastAsia="宋体" w:hAnsi="宋体"/>
                <w:noProof/>
              </w:rPr>
              <w:t>1</w:t>
            </w:r>
            <w:r w:rsidR="0059633E" w:rsidRPr="0059633E">
              <w:rPr>
                <w:rStyle w:val="afa"/>
                <w:rFonts w:ascii="宋体" w:eastAsia="宋体" w:hAnsi="宋体" w:hint="eastAsia"/>
                <w:noProof/>
              </w:rPr>
              <w:t>，现状特征：推案减少致狭义库存假性回落，成交低迷、广义库存攀升进一步激化供给侧竞争</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_Toc128583540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28</w:t>
            </w:r>
            <w:r w:rsidR="0059633E" w:rsidRPr="0059633E">
              <w:rPr>
                <w:rFonts w:ascii="宋体" w:eastAsia="宋体" w:hAnsi="宋体"/>
                <w:noProof/>
                <w:webHidden/>
              </w:rPr>
              <w:fldChar w:fldCharType="end"/>
            </w:r>
          </w:hyperlink>
        </w:p>
        <w:p w14:paraId="5C2372A9" w14:textId="673CFD2E" w:rsidR="0059633E" w:rsidRPr="0059633E" w:rsidRDefault="000A19D2" w:rsidP="0059633E">
          <w:pPr>
            <w:pStyle w:val="21"/>
            <w:spacing w:line="400" w:lineRule="exact"/>
            <w:rPr>
              <w:rFonts w:ascii="宋体" w:eastAsia="宋体" w:hAnsi="宋体"/>
              <w:noProof/>
            </w:rPr>
          </w:pPr>
          <w:hyperlink w:anchor="_Toc128583541" w:history="1">
            <w:r w:rsidR="0059633E" w:rsidRPr="0059633E">
              <w:rPr>
                <w:rStyle w:val="afa"/>
                <w:rFonts w:ascii="宋体" w:eastAsia="宋体" w:hAnsi="宋体"/>
                <w:noProof/>
              </w:rPr>
              <w:t>2</w:t>
            </w:r>
            <w:r w:rsidR="0059633E" w:rsidRPr="0059633E">
              <w:rPr>
                <w:rStyle w:val="afa"/>
                <w:rFonts w:ascii="宋体" w:eastAsia="宋体" w:hAnsi="宋体" w:hint="eastAsia"/>
                <w:noProof/>
              </w:rPr>
              <w:t>，城市差异：分化进一步加剧，仅少数城市去化周期保持在</w:t>
            </w:r>
            <w:r w:rsidR="0059633E" w:rsidRPr="0059633E">
              <w:rPr>
                <w:rStyle w:val="afa"/>
                <w:rFonts w:ascii="宋体" w:eastAsia="宋体" w:hAnsi="宋体"/>
                <w:noProof/>
              </w:rPr>
              <w:t>10</w:t>
            </w:r>
            <w:r w:rsidR="0059633E" w:rsidRPr="0059633E">
              <w:rPr>
                <w:rStyle w:val="afa"/>
                <w:rFonts w:ascii="宋体" w:eastAsia="宋体" w:hAnsi="宋体" w:hint="eastAsia"/>
                <w:noProof/>
              </w:rPr>
              <w:t>个月以内</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_Toc128583541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29</w:t>
            </w:r>
            <w:r w:rsidR="0059633E" w:rsidRPr="0059633E">
              <w:rPr>
                <w:rFonts w:ascii="宋体" w:eastAsia="宋体" w:hAnsi="宋体"/>
                <w:noProof/>
                <w:webHidden/>
              </w:rPr>
              <w:fldChar w:fldCharType="end"/>
            </w:r>
          </w:hyperlink>
        </w:p>
        <w:p w14:paraId="56F2A026" w14:textId="3A4A0595" w:rsidR="0059633E" w:rsidRPr="0059633E" w:rsidRDefault="000A19D2" w:rsidP="0059633E">
          <w:pPr>
            <w:pStyle w:val="21"/>
            <w:spacing w:line="400" w:lineRule="exact"/>
            <w:rPr>
              <w:rFonts w:ascii="宋体" w:eastAsia="宋体" w:hAnsi="宋体"/>
              <w:noProof/>
            </w:rPr>
          </w:pPr>
          <w:hyperlink w:anchor="_Toc128583542" w:history="1">
            <w:r w:rsidR="0059633E" w:rsidRPr="0059633E">
              <w:rPr>
                <w:rStyle w:val="afa"/>
                <w:rFonts w:ascii="宋体" w:eastAsia="宋体" w:hAnsi="宋体"/>
                <w:noProof/>
              </w:rPr>
              <w:t>3</w:t>
            </w:r>
            <w:r w:rsidR="0059633E" w:rsidRPr="0059633E">
              <w:rPr>
                <w:rStyle w:val="afa"/>
                <w:rFonts w:ascii="宋体" w:eastAsia="宋体" w:hAnsi="宋体" w:hint="eastAsia"/>
                <w:noProof/>
              </w:rPr>
              <w:t>，户型结构：中大户型产品表现更为稳健，二房产品库存压力高企</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_Toc128583542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29</w:t>
            </w:r>
            <w:r w:rsidR="0059633E" w:rsidRPr="0059633E">
              <w:rPr>
                <w:rFonts w:ascii="宋体" w:eastAsia="宋体" w:hAnsi="宋体"/>
                <w:noProof/>
                <w:webHidden/>
              </w:rPr>
              <w:fldChar w:fldCharType="end"/>
            </w:r>
          </w:hyperlink>
        </w:p>
        <w:p w14:paraId="34F6BB14" w14:textId="53458F79" w:rsidR="0059633E" w:rsidRDefault="000A19D2" w:rsidP="0059633E">
          <w:pPr>
            <w:pStyle w:val="21"/>
            <w:spacing w:line="400" w:lineRule="exact"/>
            <w:rPr>
              <w:rFonts w:asciiTheme="minorHAnsi" w:eastAsiaTheme="minorEastAsia" w:hAnsiTheme="minorHAnsi"/>
              <w:b w:val="0"/>
              <w:noProof/>
            </w:rPr>
          </w:pPr>
          <w:hyperlink w:anchor="_Toc128583543" w:history="1">
            <w:r w:rsidR="0059633E" w:rsidRPr="0059633E">
              <w:rPr>
                <w:rStyle w:val="afa"/>
                <w:rFonts w:ascii="宋体" w:eastAsia="宋体" w:hAnsi="宋体"/>
                <w:noProof/>
              </w:rPr>
              <w:t>4</w:t>
            </w:r>
            <w:r w:rsidR="0059633E" w:rsidRPr="0059633E">
              <w:rPr>
                <w:rStyle w:val="afa"/>
                <w:rFonts w:ascii="宋体" w:eastAsia="宋体" w:hAnsi="宋体" w:hint="eastAsia"/>
                <w:noProof/>
              </w:rPr>
              <w:t>，趋势预判：预期修复由点至面，各城市、各类产品库存压力亦需分批次缓解</w:t>
            </w:r>
            <w:r w:rsidR="0059633E" w:rsidRPr="0059633E">
              <w:rPr>
                <w:rFonts w:ascii="宋体" w:eastAsia="宋体" w:hAnsi="宋体"/>
                <w:noProof/>
                <w:webHidden/>
              </w:rPr>
              <w:tab/>
            </w:r>
            <w:r w:rsidR="0059633E" w:rsidRPr="0059633E">
              <w:rPr>
                <w:rFonts w:ascii="宋体" w:eastAsia="宋体" w:hAnsi="宋体"/>
                <w:noProof/>
                <w:webHidden/>
              </w:rPr>
              <w:fldChar w:fldCharType="begin"/>
            </w:r>
            <w:r w:rsidR="0059633E" w:rsidRPr="0059633E">
              <w:rPr>
                <w:rFonts w:ascii="宋体" w:eastAsia="宋体" w:hAnsi="宋体"/>
                <w:noProof/>
                <w:webHidden/>
              </w:rPr>
              <w:instrText xml:space="preserve"> PAGEREF _Toc128583543 \h </w:instrText>
            </w:r>
            <w:r w:rsidR="0059633E" w:rsidRPr="0059633E">
              <w:rPr>
                <w:rFonts w:ascii="宋体" w:eastAsia="宋体" w:hAnsi="宋体"/>
                <w:noProof/>
                <w:webHidden/>
              </w:rPr>
            </w:r>
            <w:r w:rsidR="0059633E" w:rsidRPr="0059633E">
              <w:rPr>
                <w:rFonts w:ascii="宋体" w:eastAsia="宋体" w:hAnsi="宋体"/>
                <w:noProof/>
                <w:webHidden/>
              </w:rPr>
              <w:fldChar w:fldCharType="separate"/>
            </w:r>
            <w:r w:rsidR="00D80C3E">
              <w:rPr>
                <w:rFonts w:ascii="宋体" w:eastAsia="宋体" w:hAnsi="宋体"/>
                <w:noProof/>
                <w:webHidden/>
              </w:rPr>
              <w:t>30</w:t>
            </w:r>
            <w:r w:rsidR="0059633E" w:rsidRPr="0059633E">
              <w:rPr>
                <w:rFonts w:ascii="宋体" w:eastAsia="宋体" w:hAnsi="宋体"/>
                <w:noProof/>
                <w:webHidden/>
              </w:rPr>
              <w:fldChar w:fldCharType="end"/>
            </w:r>
          </w:hyperlink>
        </w:p>
        <w:p w14:paraId="62561E1F" w14:textId="27098CE0" w:rsidR="00164439" w:rsidRPr="00995AF3" w:rsidRDefault="00164439" w:rsidP="0059633E">
          <w:pPr>
            <w:spacing w:line="380" w:lineRule="exact"/>
            <w:rPr>
              <w:bCs/>
            </w:rPr>
          </w:pPr>
          <w:r w:rsidRPr="00B63FFE">
            <w:rPr>
              <w:rFonts w:ascii="黑体" w:eastAsia="黑体" w:hAnsi="黑体"/>
              <w:sz w:val="22"/>
              <w:szCs w:val="21"/>
              <w:lang w:val="zh-CN"/>
            </w:rPr>
            <w:fldChar w:fldCharType="end"/>
          </w:r>
        </w:p>
      </w:sdtContent>
    </w:sdt>
    <w:p w14:paraId="1FDF1721" w14:textId="77777777" w:rsidR="0059633E" w:rsidRDefault="0059633E" w:rsidP="0059633E">
      <w:pPr>
        <w:pStyle w:val="01"/>
      </w:pPr>
      <w:bookmarkStart w:id="7" w:name="_Toc128583514"/>
      <w:bookmarkEnd w:id="1"/>
      <w:bookmarkEnd w:id="2"/>
      <w:bookmarkEnd w:id="3"/>
      <w:bookmarkEnd w:id="6"/>
      <w:bookmarkEnd w:id="5"/>
      <w:bookmarkEnd w:id="4"/>
    </w:p>
    <w:p w14:paraId="547ED28E" w14:textId="46680E16" w:rsidR="00B37CB1" w:rsidRDefault="00C06DAD" w:rsidP="00B37CB1">
      <w:pPr>
        <w:pStyle w:val="afd"/>
        <w:spacing w:line="440" w:lineRule="exact"/>
        <w:ind w:firstLineChars="0" w:firstLine="0"/>
        <w:jc w:val="center"/>
        <w:outlineLvl w:val="0"/>
        <w:rPr>
          <w:rFonts w:ascii="黑体" w:eastAsia="黑体" w:hAnsi="黑体"/>
          <w:b/>
          <w:bCs/>
          <w:color w:val="000000"/>
          <w:kern w:val="0"/>
          <w:sz w:val="36"/>
          <w:szCs w:val="36"/>
        </w:rPr>
      </w:pPr>
      <w:r>
        <w:rPr>
          <w:rFonts w:ascii="黑体" w:eastAsia="黑体" w:hAnsi="黑体" w:hint="eastAsia"/>
          <w:b/>
          <w:bCs/>
          <w:color w:val="000000"/>
          <w:kern w:val="0"/>
          <w:sz w:val="36"/>
          <w:szCs w:val="36"/>
        </w:rPr>
        <w:lastRenderedPageBreak/>
        <w:t>研究视点</w:t>
      </w:r>
      <w:bookmarkEnd w:id="7"/>
    </w:p>
    <w:p w14:paraId="234683E5" w14:textId="5A46BCA2" w:rsidR="00B37CB1" w:rsidRDefault="00C3280F" w:rsidP="00F6708E">
      <w:pPr>
        <w:pStyle w:val="01"/>
      </w:pPr>
      <w:r w:rsidRPr="00C3280F">
        <w:rPr>
          <w:rFonts w:hint="eastAsia"/>
        </w:rPr>
        <w:t>2022年，中国楼市经历了1998年房改后最大的全国性深度调整，行业投资、施工、新开工等各项指标均出现了深度回调，其中新房成交同比下降27%，库存</w:t>
      </w:r>
      <w:r w:rsidR="00105D63">
        <w:rPr>
          <w:rFonts w:hint="eastAsia"/>
        </w:rPr>
        <w:t>去化</w:t>
      </w:r>
      <w:r w:rsidRPr="00C3280F">
        <w:rPr>
          <w:rFonts w:hint="eastAsia"/>
        </w:rPr>
        <w:t>压力急剧攀升，在此背景下，全年土地成交更是出现了深度调整，土地购置面积同比下降53%。为进一步明晰目前各城市所面临的库存压力，研究中心对各城市目前的</w:t>
      </w:r>
      <w:r w:rsidR="00562CBE">
        <w:rPr>
          <w:rFonts w:hint="eastAsia"/>
        </w:rPr>
        <w:t>长短期</w:t>
      </w:r>
      <w:r w:rsidRPr="00C3280F">
        <w:rPr>
          <w:rFonts w:hint="eastAsia"/>
        </w:rPr>
        <w:t>库存压力进行了全面梳理，</w:t>
      </w:r>
      <w:r w:rsidR="00562CBE">
        <w:rPr>
          <w:rFonts w:hint="eastAsia"/>
        </w:rPr>
        <w:t>并对</w:t>
      </w:r>
      <w:r w:rsidR="00872564">
        <w:rPr>
          <w:rFonts w:hint="eastAsia"/>
        </w:rPr>
        <w:t>去化周期指标进行了结构性分析，对各城市不同面积段、不同户型上的分化</w:t>
      </w:r>
      <w:r w:rsidRPr="00C3280F">
        <w:rPr>
          <w:rFonts w:hint="eastAsia"/>
        </w:rPr>
        <w:t>进行</w:t>
      </w:r>
      <w:r w:rsidR="00872564">
        <w:rPr>
          <w:rFonts w:hint="eastAsia"/>
        </w:rPr>
        <w:t>了</w:t>
      </w:r>
      <w:r w:rsidRPr="00C3280F">
        <w:rPr>
          <w:rFonts w:hint="eastAsia"/>
        </w:rPr>
        <w:t>深入</w:t>
      </w:r>
      <w:r w:rsidR="00562CBE">
        <w:rPr>
          <w:rFonts w:hint="eastAsia"/>
        </w:rPr>
        <w:t>探析</w:t>
      </w:r>
      <w:r w:rsidRPr="00C3280F">
        <w:rPr>
          <w:rFonts w:hint="eastAsia"/>
        </w:rPr>
        <w:t>。</w:t>
      </w:r>
      <w:r w:rsidR="00C06DAD">
        <w:rPr>
          <w:rFonts w:hint="eastAsia"/>
        </w:rPr>
        <w:t>本文主要结论如下：</w:t>
      </w:r>
    </w:p>
    <w:p w14:paraId="7385B488" w14:textId="79C6B604" w:rsidR="00C3280F" w:rsidRDefault="00F13738" w:rsidP="001E4B3A">
      <w:pPr>
        <w:pStyle w:val="01"/>
        <w:ind w:firstLine="422"/>
      </w:pPr>
      <w:r w:rsidRPr="001E4B3A">
        <w:rPr>
          <w:rFonts w:hint="eastAsia"/>
          <w:b/>
        </w:rPr>
        <w:t>1</w:t>
      </w:r>
      <w:r w:rsidR="00F6708E" w:rsidRPr="001E4B3A">
        <w:rPr>
          <w:rFonts w:hint="eastAsia"/>
          <w:b/>
        </w:rPr>
        <w:t>，</w:t>
      </w:r>
      <w:r w:rsidR="007A401C">
        <w:rPr>
          <w:rFonts w:hint="eastAsia"/>
          <w:b/>
        </w:rPr>
        <w:t>2022年</w:t>
      </w:r>
      <w:r w:rsidR="001E4B3A" w:rsidRPr="001E4B3A">
        <w:rPr>
          <w:rFonts w:hint="eastAsia"/>
          <w:b/>
        </w:rPr>
        <w:t>领取销许放缓、</w:t>
      </w:r>
      <w:r w:rsidR="001E4B3A">
        <w:rPr>
          <w:rFonts w:hint="eastAsia"/>
          <w:b/>
        </w:rPr>
        <w:t>新</w:t>
      </w:r>
      <w:r w:rsidR="00F6708E" w:rsidRPr="001E4B3A">
        <w:rPr>
          <w:rFonts w:hint="eastAsia"/>
          <w:b/>
        </w:rPr>
        <w:t>推案减少</w:t>
      </w:r>
      <w:r w:rsidR="001E4B3A" w:rsidRPr="001E4B3A">
        <w:rPr>
          <w:rFonts w:hint="eastAsia"/>
          <w:b/>
        </w:rPr>
        <w:t>，</w:t>
      </w:r>
      <w:r w:rsidR="00F6708E" w:rsidRPr="001E4B3A">
        <w:rPr>
          <w:rFonts w:hint="eastAsia"/>
          <w:b/>
        </w:rPr>
        <w:t>致狭义库存假性回落</w:t>
      </w:r>
      <w:r w:rsidR="00562CBE" w:rsidRPr="0059633E">
        <w:rPr>
          <w:rFonts w:hint="eastAsia"/>
          <w:b/>
        </w:rPr>
        <w:t>。</w:t>
      </w:r>
    </w:p>
    <w:p w14:paraId="1CE4B818" w14:textId="5741C272" w:rsidR="00F6708E" w:rsidRDefault="00F6708E" w:rsidP="00F6708E">
      <w:pPr>
        <w:pStyle w:val="01"/>
        <w:ind w:firstLine="482"/>
      </w:pPr>
      <w:r>
        <w:rPr>
          <w:rFonts w:hint="eastAsia"/>
          <w:b/>
          <w:sz w:val="24"/>
        </w:rPr>
        <w:t>2，</w:t>
      </w:r>
      <w:r w:rsidRPr="00F6708E">
        <w:rPr>
          <w:rFonts w:hint="eastAsia"/>
          <w:b/>
        </w:rPr>
        <w:t>预期修复助一线城市狭义库存规模“逆市”上行。</w:t>
      </w:r>
    </w:p>
    <w:p w14:paraId="3ABF0184" w14:textId="67C94D31" w:rsidR="00F6708E" w:rsidRDefault="00F6708E" w:rsidP="00F6708E">
      <w:pPr>
        <w:pStyle w:val="01"/>
        <w:ind w:firstLine="422"/>
      </w:pPr>
      <w:r w:rsidRPr="00F6708E">
        <w:rPr>
          <w:rFonts w:hint="eastAsia"/>
          <w:b/>
        </w:rPr>
        <w:t>3，广义库存同比增幅达6%</w:t>
      </w:r>
      <w:r w:rsidR="00A74472">
        <w:rPr>
          <w:rFonts w:hint="eastAsia"/>
          <w:b/>
        </w:rPr>
        <w:t>，长期库存</w:t>
      </w:r>
      <w:r w:rsidR="002F2964">
        <w:rPr>
          <w:rFonts w:hint="eastAsia"/>
          <w:b/>
        </w:rPr>
        <w:t>压力</w:t>
      </w:r>
      <w:r w:rsidR="00A74472">
        <w:rPr>
          <w:rFonts w:hint="eastAsia"/>
          <w:b/>
        </w:rPr>
        <w:t>仍在攀升</w:t>
      </w:r>
      <w:r w:rsidRPr="00F6708E">
        <w:rPr>
          <w:rFonts w:hint="eastAsia"/>
          <w:b/>
        </w:rPr>
        <w:t>。</w:t>
      </w:r>
    </w:p>
    <w:p w14:paraId="030AC149" w14:textId="5B8F9D7C" w:rsidR="00E040C6" w:rsidRDefault="00F6708E" w:rsidP="00E040C6">
      <w:pPr>
        <w:pStyle w:val="01"/>
        <w:ind w:firstLine="422"/>
      </w:pPr>
      <w:r w:rsidRPr="00E040C6">
        <w:rPr>
          <w:rFonts w:hint="eastAsia"/>
          <w:b/>
        </w:rPr>
        <w:t>4，</w:t>
      </w:r>
      <w:r w:rsidR="00E040C6" w:rsidRPr="00E040C6">
        <w:rPr>
          <w:rFonts w:hint="eastAsia"/>
          <w:b/>
        </w:rPr>
        <w:t>成交低迷下</w:t>
      </w:r>
      <w:r w:rsidR="00E040C6">
        <w:rPr>
          <w:rFonts w:hint="eastAsia"/>
          <w:b/>
        </w:rPr>
        <w:t>整体</w:t>
      </w:r>
      <w:r w:rsidR="00E040C6" w:rsidRPr="00E040C6">
        <w:rPr>
          <w:rFonts w:hint="eastAsia"/>
          <w:b/>
        </w:rPr>
        <w:t>狭义、广义消化周期均显著上行</w:t>
      </w:r>
      <w:r w:rsidR="002F2964">
        <w:rPr>
          <w:rFonts w:hint="eastAsia"/>
          <w:b/>
        </w:rPr>
        <w:t>，并</w:t>
      </w:r>
      <w:r w:rsidR="00562CBE" w:rsidRPr="00BE5AD8">
        <w:rPr>
          <w:rFonts w:hint="eastAsia"/>
          <w:b/>
        </w:rPr>
        <w:t>已超过了前期2014年的高点</w:t>
      </w:r>
      <w:r w:rsidR="00E040C6" w:rsidRPr="00BE5AD8">
        <w:rPr>
          <w:rFonts w:hint="eastAsia"/>
          <w:b/>
        </w:rPr>
        <w:t>。</w:t>
      </w:r>
    </w:p>
    <w:p w14:paraId="0EB7E2E7" w14:textId="3114290C" w:rsidR="00E040C6" w:rsidRPr="00E040C6" w:rsidRDefault="00E040C6" w:rsidP="00E040C6">
      <w:pPr>
        <w:pStyle w:val="01"/>
        <w:ind w:firstLine="422"/>
      </w:pPr>
      <w:r w:rsidRPr="00E040C6">
        <w:rPr>
          <w:rFonts w:hint="eastAsia"/>
          <w:b/>
        </w:rPr>
        <w:t>5，一线城市</w:t>
      </w:r>
      <w:r>
        <w:rPr>
          <w:rFonts w:hint="eastAsia"/>
          <w:b/>
        </w:rPr>
        <w:t>狭义</w:t>
      </w:r>
      <w:r w:rsidRPr="00E040C6">
        <w:rPr>
          <w:rFonts w:hint="eastAsia"/>
          <w:b/>
        </w:rPr>
        <w:t>消化周期</w:t>
      </w:r>
      <w:r w:rsidR="00562CBE">
        <w:rPr>
          <w:rFonts w:hint="eastAsia"/>
          <w:b/>
        </w:rPr>
        <w:t>仍低于2014年高点</w:t>
      </w:r>
      <w:r w:rsidRPr="00E040C6">
        <w:rPr>
          <w:rFonts w:hint="eastAsia"/>
          <w:b/>
        </w:rPr>
        <w:t>，三四线供求信心双双“塌方”致去化压力骤增</w:t>
      </w:r>
      <w:r>
        <w:rPr>
          <w:rFonts w:hint="eastAsia"/>
          <w:b/>
        </w:rPr>
        <w:t>。</w:t>
      </w:r>
      <w:r w:rsidR="00562CBE" w:rsidRPr="002F2964">
        <w:rPr>
          <w:rFonts w:hint="eastAsia"/>
          <w:bCs/>
        </w:rPr>
        <w:t>2022年末三四线消化周期23.7个月，较2014年高点增加了26%。</w:t>
      </w:r>
    </w:p>
    <w:p w14:paraId="39B432E0" w14:textId="1CC45F6A" w:rsidR="00E040C6" w:rsidRPr="00A74472" w:rsidRDefault="00A74472" w:rsidP="00E040C6">
      <w:pPr>
        <w:pStyle w:val="01"/>
        <w:ind w:firstLine="422"/>
      </w:pPr>
      <w:r>
        <w:rPr>
          <w:rFonts w:hint="eastAsia"/>
          <w:b/>
        </w:rPr>
        <w:t>6</w:t>
      </w:r>
      <w:r w:rsidR="00E040C6" w:rsidRPr="00E040C6">
        <w:rPr>
          <w:rFonts w:hint="eastAsia"/>
          <w:b/>
        </w:rPr>
        <w:t>，</w:t>
      </w:r>
      <w:r w:rsidRPr="00A74472">
        <w:rPr>
          <w:rFonts w:hint="eastAsia"/>
          <w:b/>
        </w:rPr>
        <w:t>中大户型产品</w:t>
      </w:r>
      <w:r>
        <w:rPr>
          <w:rFonts w:hint="eastAsia"/>
          <w:b/>
        </w:rPr>
        <w:t>去化</w:t>
      </w:r>
      <w:r w:rsidRPr="00A74472">
        <w:rPr>
          <w:rFonts w:hint="eastAsia"/>
          <w:b/>
        </w:rPr>
        <w:t>表现更为稳健，二房产品库存压力高企</w:t>
      </w:r>
      <w:r>
        <w:rPr>
          <w:rFonts w:hint="eastAsia"/>
          <w:b/>
        </w:rPr>
        <w:t>。</w:t>
      </w:r>
      <w:r w:rsidRPr="002F2964">
        <w:rPr>
          <w:rFonts w:hint="eastAsia"/>
        </w:rPr>
        <w:t>大多数城市均做到了“以需定供”，库存</w:t>
      </w:r>
      <w:r w:rsidR="00826727" w:rsidRPr="002F2964">
        <w:rPr>
          <w:rFonts w:hint="eastAsia"/>
        </w:rPr>
        <w:t>规模</w:t>
      </w:r>
      <w:r w:rsidRPr="002F2964">
        <w:rPr>
          <w:rFonts w:hint="eastAsia"/>
        </w:rPr>
        <w:t>相对较高的100-120㎡左右的三房、四房，同时也是去化表现最佳的一类</w:t>
      </w:r>
      <w:r w:rsidRPr="00A74472">
        <w:rPr>
          <w:rFonts w:hint="eastAsia"/>
        </w:rPr>
        <w:t>产品。</w:t>
      </w:r>
    </w:p>
    <w:p w14:paraId="4953638D" w14:textId="348D237A" w:rsidR="00EF5536" w:rsidRDefault="00A74472" w:rsidP="00A74472">
      <w:pPr>
        <w:pStyle w:val="01"/>
        <w:ind w:firstLine="422"/>
      </w:pPr>
      <w:r w:rsidRPr="00A74472">
        <w:rPr>
          <w:rFonts w:hint="eastAsia"/>
          <w:b/>
        </w:rPr>
        <w:t>7</w:t>
      </w:r>
      <w:r w:rsidR="00EF5536" w:rsidRPr="00A74472">
        <w:rPr>
          <w:rFonts w:hint="eastAsia"/>
          <w:b/>
        </w:rPr>
        <w:t>，预期修复</w:t>
      </w:r>
      <w:r w:rsidR="00F6708E" w:rsidRPr="00A74472">
        <w:rPr>
          <w:rFonts w:hint="eastAsia"/>
          <w:b/>
        </w:rPr>
        <w:t>和库存压力缓解，均</w:t>
      </w:r>
      <w:r w:rsidR="00EF5536" w:rsidRPr="00A74472">
        <w:rPr>
          <w:rFonts w:hint="eastAsia"/>
          <w:b/>
        </w:rPr>
        <w:t>需要经历由点至面的</w:t>
      </w:r>
      <w:r w:rsidR="008A5910">
        <w:rPr>
          <w:rFonts w:hint="eastAsia"/>
          <w:b/>
        </w:rPr>
        <w:t>长期</w:t>
      </w:r>
      <w:r w:rsidR="00EF5536" w:rsidRPr="00A74472">
        <w:rPr>
          <w:rFonts w:hint="eastAsia"/>
          <w:b/>
        </w:rPr>
        <w:t>过</w:t>
      </w:r>
      <w:r w:rsidR="00EF5536" w:rsidRPr="00E16A46">
        <w:rPr>
          <w:rFonts w:hint="eastAsia"/>
          <w:b/>
        </w:rPr>
        <w:t>程</w:t>
      </w:r>
      <w:r w:rsidR="00F6708E">
        <w:rPr>
          <w:rFonts w:hint="eastAsia"/>
          <w:b/>
        </w:rPr>
        <w:t>。</w:t>
      </w:r>
    </w:p>
    <w:p w14:paraId="11D1B3D8" w14:textId="77777777" w:rsidR="00F13738" w:rsidRPr="00F13738" w:rsidRDefault="00F13738" w:rsidP="00C3280F">
      <w:pPr>
        <w:rPr>
          <w:rFonts w:ascii="宋体" w:eastAsia="宋体" w:hAnsi="宋体"/>
          <w:sz w:val="24"/>
        </w:rPr>
      </w:pPr>
    </w:p>
    <w:p w14:paraId="7F802634" w14:textId="404A0BFC" w:rsidR="001353D8" w:rsidRPr="001353D8" w:rsidRDefault="00216143" w:rsidP="001353D8">
      <w:pPr>
        <w:spacing w:beforeLines="100" w:before="312" w:afterLines="50" w:after="156"/>
        <w:jc w:val="center"/>
        <w:outlineLvl w:val="0"/>
        <w:rPr>
          <w:rFonts w:ascii="黑体" w:eastAsia="黑体" w:hAnsi="黑体"/>
          <w:b/>
          <w:bCs/>
          <w:sz w:val="32"/>
          <w:szCs w:val="32"/>
        </w:rPr>
      </w:pPr>
      <w:bookmarkStart w:id="8" w:name="_Toc128583515"/>
      <w:r>
        <w:rPr>
          <w:rFonts w:ascii="黑体" w:eastAsia="黑体" w:hAnsi="黑体" w:hint="eastAsia"/>
          <w:b/>
          <w:bCs/>
          <w:sz w:val="32"/>
          <w:szCs w:val="32"/>
        </w:rPr>
        <w:t>一</w:t>
      </w:r>
      <w:r w:rsidR="007C493E">
        <w:rPr>
          <w:rFonts w:ascii="黑体" w:eastAsia="黑体" w:hAnsi="黑体" w:hint="eastAsia"/>
          <w:b/>
          <w:bCs/>
          <w:sz w:val="32"/>
          <w:szCs w:val="32"/>
        </w:rPr>
        <w:t>，竣工</w:t>
      </w:r>
      <w:r w:rsidR="00A555EC">
        <w:rPr>
          <w:rFonts w:ascii="黑体" w:eastAsia="黑体" w:hAnsi="黑体" w:hint="eastAsia"/>
          <w:b/>
          <w:bCs/>
          <w:sz w:val="32"/>
          <w:szCs w:val="32"/>
        </w:rPr>
        <w:t>未售</w:t>
      </w:r>
      <w:r w:rsidR="0031176B">
        <w:rPr>
          <w:rFonts w:ascii="黑体" w:eastAsia="黑体" w:hAnsi="黑体" w:hint="eastAsia"/>
          <w:b/>
          <w:bCs/>
          <w:sz w:val="32"/>
          <w:szCs w:val="32"/>
        </w:rPr>
        <w:t>、广义库存</w:t>
      </w:r>
      <w:r w:rsidR="007C493E">
        <w:rPr>
          <w:rFonts w:ascii="黑体" w:eastAsia="黑体" w:hAnsi="黑体" w:hint="eastAsia"/>
          <w:b/>
          <w:bCs/>
          <w:sz w:val="32"/>
          <w:szCs w:val="32"/>
        </w:rPr>
        <w:t>创新高，狭义库存却高位微降</w:t>
      </w:r>
      <w:bookmarkEnd w:id="8"/>
      <w:r w:rsidR="002F2964">
        <w:rPr>
          <w:rFonts w:ascii="黑体" w:eastAsia="黑体" w:hAnsi="黑体" w:hint="eastAsia"/>
          <w:b/>
          <w:bCs/>
          <w:sz w:val="32"/>
          <w:szCs w:val="32"/>
        </w:rPr>
        <w:t>（节选）</w:t>
      </w:r>
    </w:p>
    <w:p w14:paraId="5C493058" w14:textId="112EA8B9" w:rsidR="00137F99" w:rsidRPr="001F22E3" w:rsidRDefault="00690CDA" w:rsidP="00137F99">
      <w:pPr>
        <w:pStyle w:val="01"/>
      </w:pPr>
      <w:r>
        <w:rPr>
          <w:rFonts w:hint="eastAsia"/>
        </w:rPr>
        <w:t>2022年</w:t>
      </w:r>
      <w:r w:rsidR="007C493E" w:rsidRPr="007C493E">
        <w:rPr>
          <w:rFonts w:hint="eastAsia"/>
        </w:rPr>
        <w:t>，</w:t>
      </w:r>
      <w:r w:rsidR="007C493E">
        <w:rPr>
          <w:rFonts w:hint="eastAsia"/>
        </w:rPr>
        <w:t>同步于</w:t>
      </w:r>
      <w:r w:rsidR="007D76D0">
        <w:rPr>
          <w:rFonts w:hint="eastAsia"/>
        </w:rPr>
        <w:t>商品住宅成交面积的大幅下滑，全国住宅竣工待售面积创下了近年来的新高</w:t>
      </w:r>
      <w:r w:rsidR="009A461F">
        <w:rPr>
          <w:rFonts w:hint="eastAsia"/>
        </w:rPr>
        <w:t>。</w:t>
      </w:r>
      <w:r w:rsidR="007D76D0">
        <w:rPr>
          <w:rFonts w:hint="eastAsia"/>
        </w:rPr>
        <w:t>狭义库存却不增反降，</w:t>
      </w:r>
      <w:r w:rsidR="009A461F">
        <w:rPr>
          <w:rFonts w:hint="eastAsia"/>
        </w:rPr>
        <w:t>超过六成的</w:t>
      </w:r>
      <w:r w:rsidR="007D76D0">
        <w:rPr>
          <w:rFonts w:hint="eastAsia"/>
        </w:rPr>
        <w:t>典型城市狭义库存</w:t>
      </w:r>
      <w:r w:rsidR="009A461F">
        <w:rPr>
          <w:rFonts w:hint="eastAsia"/>
        </w:rPr>
        <w:t>同比下滑</w:t>
      </w:r>
      <w:r w:rsidR="007D76D0">
        <w:rPr>
          <w:rFonts w:hint="eastAsia"/>
        </w:rPr>
        <w:t>，</w:t>
      </w:r>
      <w:r w:rsidR="00362E61">
        <w:rPr>
          <w:rFonts w:hint="eastAsia"/>
        </w:rPr>
        <w:t>需求端表现稳健的上海反而成为了库存规模领涨的代表城市之一。</w:t>
      </w:r>
    </w:p>
    <w:p w14:paraId="48E21720" w14:textId="4A71F3B4" w:rsidR="000158FF" w:rsidRDefault="00553C2E" w:rsidP="005D371E">
      <w:pPr>
        <w:pStyle w:val="00"/>
      </w:pPr>
      <w:bookmarkStart w:id="9" w:name="_Toc128583516"/>
      <w:r>
        <w:rPr>
          <w:rFonts w:hint="eastAsia"/>
        </w:rPr>
        <w:t>1</w:t>
      </w:r>
      <w:r w:rsidR="00F01E13">
        <w:rPr>
          <w:rFonts w:hint="eastAsia"/>
        </w:rPr>
        <w:t>，</w:t>
      </w:r>
      <w:r w:rsidR="00B7253A">
        <w:rPr>
          <w:rFonts w:hint="eastAsia"/>
        </w:rPr>
        <w:t>住宅竣工未售率重回三成以上，</w:t>
      </w:r>
      <w:r w:rsidR="000158FF">
        <w:rPr>
          <w:rFonts w:hint="eastAsia"/>
        </w:rPr>
        <w:t>待售面积创近五年新高</w:t>
      </w:r>
      <w:r w:rsidR="00C6032F">
        <w:rPr>
          <w:rFonts w:hint="eastAsia"/>
        </w:rPr>
        <w:t>、仍低于2015年高点</w:t>
      </w:r>
      <w:bookmarkEnd w:id="9"/>
      <w:r w:rsidR="005D371E">
        <w:rPr>
          <w:rFonts w:hint="eastAsia"/>
        </w:rPr>
        <w:t>（节选）</w:t>
      </w:r>
    </w:p>
    <w:p w14:paraId="4B3B9ACF" w14:textId="5A28BF4C" w:rsidR="00137F99" w:rsidRPr="00443E21" w:rsidRDefault="000158FF" w:rsidP="007F178A">
      <w:pPr>
        <w:pStyle w:val="01"/>
        <w:ind w:firstLineChars="0" w:firstLine="0"/>
        <w:rPr>
          <w:b/>
        </w:rPr>
      </w:pPr>
      <w:r>
        <w:rPr>
          <w:rFonts w:hint="eastAsia"/>
        </w:rPr>
        <w:tab/>
      </w:r>
      <w:r w:rsidRPr="00933C95">
        <w:rPr>
          <w:rFonts w:hint="eastAsia"/>
          <w:b/>
        </w:rPr>
        <w:t>2022年末全国住宅竣工未售面积2.7亿</w:t>
      </w:r>
      <w:r w:rsidR="00F13738">
        <w:rPr>
          <w:rFonts w:hint="eastAsia"/>
          <w:b/>
        </w:rPr>
        <w:t>㎡</w:t>
      </w:r>
      <w:r w:rsidRPr="00933C95">
        <w:rPr>
          <w:rFonts w:hint="eastAsia"/>
          <w:b/>
        </w:rPr>
        <w:t>，同比上升18%，创近5年新高</w:t>
      </w:r>
      <w:r w:rsidR="00C6032F">
        <w:rPr>
          <w:rFonts w:hint="eastAsia"/>
          <w:b/>
        </w:rPr>
        <w:t>，</w:t>
      </w:r>
      <w:r w:rsidR="00C6032F" w:rsidRPr="00C6032F">
        <w:rPr>
          <w:rFonts w:hint="eastAsia"/>
        </w:rPr>
        <w:t>但是就历史数据来看，</w:t>
      </w:r>
      <w:r w:rsidR="00C6032F">
        <w:rPr>
          <w:rFonts w:hint="eastAsia"/>
        </w:rPr>
        <w:t>仍远低于2015年4.5亿的历史高点</w:t>
      </w:r>
      <w:r>
        <w:rPr>
          <w:rFonts w:hint="eastAsia"/>
        </w:rPr>
        <w:t>。</w:t>
      </w:r>
      <w:r w:rsidR="00933C95">
        <w:rPr>
          <w:rFonts w:hint="eastAsia"/>
        </w:rPr>
        <w:t>其中</w:t>
      </w:r>
      <w:r>
        <w:rPr>
          <w:rFonts w:hint="eastAsia"/>
        </w:rPr>
        <w:t>2022年初出现了历史最大的</w:t>
      </w:r>
      <w:r w:rsidR="00933C95">
        <w:rPr>
          <w:rFonts w:hint="eastAsia"/>
        </w:rPr>
        <w:t>单月</w:t>
      </w:r>
      <w:r>
        <w:rPr>
          <w:rFonts w:hint="eastAsia"/>
        </w:rPr>
        <w:t>待售面积增量，</w:t>
      </w:r>
      <w:r w:rsidR="00933C95">
        <w:rPr>
          <w:rFonts w:hint="eastAsia"/>
        </w:rPr>
        <w:t>较2021年12月末增加</w:t>
      </w:r>
      <w:r>
        <w:rPr>
          <w:rFonts w:hint="eastAsia"/>
        </w:rPr>
        <w:t>5552万</w:t>
      </w:r>
      <w:r w:rsidR="00F13738">
        <w:rPr>
          <w:rFonts w:hint="eastAsia"/>
        </w:rPr>
        <w:t>㎡</w:t>
      </w:r>
      <w:r w:rsidR="00933C95">
        <w:rPr>
          <w:rFonts w:hint="eastAsia"/>
        </w:rPr>
        <w:t>，这一方面固然是因为大量住宅竣工的统计上报时间聚集在了年末，但更重要的，</w:t>
      </w:r>
      <w:r w:rsidR="00933C95" w:rsidRPr="00933C95">
        <w:rPr>
          <w:rFonts w:hint="eastAsia"/>
          <w:b/>
        </w:rPr>
        <w:t>还是竣工住宅售出率出现了显著下降，导致相关库存指标出现了急剧上升。</w:t>
      </w:r>
      <w:r>
        <w:rPr>
          <w:rFonts w:hint="eastAsia"/>
        </w:rPr>
        <w:tab/>
      </w:r>
    </w:p>
    <w:p w14:paraId="39FC38E1" w14:textId="743EFDFB" w:rsidR="00137F99" w:rsidRPr="00137F99" w:rsidRDefault="0049627C" w:rsidP="00137F99">
      <w:pPr>
        <w:jc w:val="center"/>
        <w:rPr>
          <w:b/>
          <w:sz w:val="20"/>
          <w:szCs w:val="21"/>
        </w:rPr>
      </w:pPr>
      <w:r>
        <w:rPr>
          <w:rFonts w:hint="eastAsia"/>
          <w:b/>
          <w:sz w:val="20"/>
          <w:szCs w:val="21"/>
        </w:rPr>
        <w:t>图</w:t>
      </w:r>
      <w:r w:rsidR="00137F99" w:rsidRPr="00137F99">
        <w:rPr>
          <w:rFonts w:hint="eastAsia"/>
          <w:b/>
          <w:sz w:val="20"/>
          <w:szCs w:val="21"/>
        </w:rPr>
        <w:t>：</w:t>
      </w:r>
      <w:r w:rsidR="00137F99" w:rsidRPr="00137F99">
        <w:rPr>
          <w:rFonts w:hint="eastAsia"/>
          <w:b/>
          <w:sz w:val="20"/>
          <w:szCs w:val="21"/>
        </w:rPr>
        <w:t>20</w:t>
      </w:r>
      <w:r w:rsidR="00B673F1">
        <w:rPr>
          <w:rFonts w:hint="eastAsia"/>
          <w:b/>
          <w:sz w:val="20"/>
          <w:szCs w:val="21"/>
        </w:rPr>
        <w:t>13</w:t>
      </w:r>
      <w:r w:rsidR="00137F99" w:rsidRPr="00137F99">
        <w:rPr>
          <w:rFonts w:hint="eastAsia"/>
          <w:b/>
          <w:sz w:val="20"/>
          <w:szCs w:val="21"/>
        </w:rPr>
        <w:t>年</w:t>
      </w:r>
      <w:r w:rsidR="000158FF">
        <w:rPr>
          <w:rFonts w:hint="eastAsia"/>
          <w:b/>
          <w:sz w:val="20"/>
          <w:szCs w:val="21"/>
        </w:rPr>
        <w:t>以来中国住宅待售面积</w:t>
      </w:r>
      <w:r w:rsidR="00F6565A">
        <w:rPr>
          <w:rFonts w:hint="eastAsia"/>
          <w:b/>
          <w:sz w:val="20"/>
          <w:szCs w:val="21"/>
        </w:rPr>
        <w:t>（亿</w:t>
      </w:r>
      <w:r w:rsidR="00F13738">
        <w:rPr>
          <w:rFonts w:hint="eastAsia"/>
          <w:b/>
          <w:sz w:val="20"/>
          <w:szCs w:val="21"/>
        </w:rPr>
        <w:t>㎡</w:t>
      </w:r>
      <w:r w:rsidR="00F6565A">
        <w:rPr>
          <w:rFonts w:hint="eastAsia"/>
          <w:b/>
          <w:sz w:val="20"/>
          <w:szCs w:val="21"/>
        </w:rPr>
        <w:t>）</w:t>
      </w:r>
    </w:p>
    <w:p w14:paraId="08188BF1" w14:textId="585F120A" w:rsidR="0049627C" w:rsidRDefault="00B673F1" w:rsidP="00B673F1">
      <w:pPr>
        <w:pStyle w:val="13"/>
        <w:spacing w:line="240" w:lineRule="auto"/>
        <w:ind w:firstLineChars="200" w:firstLine="420"/>
        <w:jc w:val="right"/>
        <w:rPr>
          <w:rFonts w:ascii="宋体" w:eastAsia="宋体" w:hAnsi="宋体"/>
          <w:sz w:val="18"/>
          <w:szCs w:val="24"/>
        </w:rPr>
      </w:pPr>
      <w:r>
        <w:rPr>
          <w:noProof/>
        </w:rPr>
        <w:lastRenderedPageBreak/>
        <w:drawing>
          <wp:inline distT="0" distB="0" distL="0" distR="0" wp14:anchorId="5243E0D0" wp14:editId="11145F43">
            <wp:extent cx="5486400" cy="200914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5EF0B5" w14:textId="30BD45D6" w:rsidR="00137F99" w:rsidRDefault="00137F99" w:rsidP="0049627C">
      <w:pPr>
        <w:pStyle w:val="13"/>
        <w:spacing w:line="240" w:lineRule="auto"/>
        <w:ind w:firstLineChars="200" w:firstLine="360"/>
        <w:jc w:val="right"/>
        <w:rPr>
          <w:rFonts w:ascii="宋体" w:eastAsia="宋体" w:hAnsi="宋体"/>
          <w:sz w:val="18"/>
          <w:szCs w:val="24"/>
        </w:rPr>
      </w:pPr>
      <w:r w:rsidRPr="0033172E">
        <w:rPr>
          <w:rFonts w:ascii="宋体" w:eastAsia="宋体" w:hAnsi="宋体" w:hint="eastAsia"/>
          <w:sz w:val="18"/>
          <w:szCs w:val="24"/>
        </w:rPr>
        <w:t>数据来源：国家统计局</w:t>
      </w:r>
    </w:p>
    <w:p w14:paraId="15935CD8" w14:textId="44CF034F" w:rsidR="0059633E" w:rsidRDefault="0049627C" w:rsidP="005D371E">
      <w:pPr>
        <w:pStyle w:val="01"/>
        <w:ind w:firstLineChars="0" w:firstLine="360"/>
        <w:rPr>
          <w:b/>
          <w:sz w:val="20"/>
          <w:szCs w:val="21"/>
        </w:rPr>
      </w:pPr>
      <w:r>
        <w:rPr>
          <w:rFonts w:hint="eastAsia"/>
        </w:rPr>
        <w:t>根据住宅待售面积和其他统计指标的逻辑关系，进一步联系历年住宅竣工面积、现房销售面积，可以测算历年</w:t>
      </w:r>
      <w:r w:rsidR="007F178A">
        <w:rPr>
          <w:rFonts w:hint="eastAsia"/>
        </w:rPr>
        <w:t>中国</w:t>
      </w:r>
      <w:r>
        <w:rPr>
          <w:rFonts w:hint="eastAsia"/>
        </w:rPr>
        <w:t>竣工住宅的</w:t>
      </w:r>
      <w:r w:rsidR="00A61074">
        <w:rPr>
          <w:rFonts w:hint="eastAsia"/>
        </w:rPr>
        <w:t>未售</w:t>
      </w:r>
      <w:r>
        <w:rPr>
          <w:rFonts w:hint="eastAsia"/>
        </w:rPr>
        <w:t>率</w:t>
      </w:r>
      <w:r w:rsidR="00A61074">
        <w:rPr>
          <w:rFonts w:hint="eastAsia"/>
        </w:rPr>
        <w:t>，并由此判断库存积压情况的变化</w:t>
      </w:r>
      <w:r>
        <w:rPr>
          <w:rFonts w:hint="eastAsia"/>
        </w:rPr>
        <w:t>。可以看到2016年以后，中国竣工住宅的</w:t>
      </w:r>
      <w:r w:rsidR="00A61074">
        <w:rPr>
          <w:rFonts w:hint="eastAsia"/>
        </w:rPr>
        <w:t>未售率逐年下降</w:t>
      </w:r>
      <w:r>
        <w:rPr>
          <w:rFonts w:hint="eastAsia"/>
        </w:rPr>
        <w:t>，至2019-2021年达到</w:t>
      </w:r>
      <w:r w:rsidR="00A61074">
        <w:rPr>
          <w:rFonts w:hint="eastAsia"/>
        </w:rPr>
        <w:t>低点</w:t>
      </w:r>
      <w:r>
        <w:rPr>
          <w:rFonts w:hint="eastAsia"/>
        </w:rPr>
        <w:t>，考虑到销售到竣工一般需要1-2年的施工期，这也与此前中国房地产市场的发展趋势一致。2022年，竣工住宅的</w:t>
      </w:r>
      <w:r w:rsidR="00B7253A">
        <w:rPr>
          <w:rFonts w:hint="eastAsia"/>
        </w:rPr>
        <w:t>未售率攀升</w:t>
      </w:r>
      <w:r>
        <w:rPr>
          <w:rFonts w:hint="eastAsia"/>
        </w:rPr>
        <w:t>至</w:t>
      </w:r>
      <w:r w:rsidR="00B7253A">
        <w:rPr>
          <w:rFonts w:hint="eastAsia"/>
        </w:rPr>
        <w:t>32</w:t>
      </w:r>
      <w:r>
        <w:rPr>
          <w:rFonts w:hint="eastAsia"/>
        </w:rPr>
        <w:t>%，也与2020年起始的市场去化率的下行相一致。</w:t>
      </w:r>
      <w:r w:rsidRPr="00933C95">
        <w:rPr>
          <w:rFonts w:hint="eastAsia"/>
          <w:b/>
        </w:rPr>
        <w:t>考虑到2022年全国商品住宅销售规模较上一年下降了4亿</w:t>
      </w:r>
      <w:r w:rsidR="00F13738">
        <w:rPr>
          <w:rFonts w:hint="eastAsia"/>
          <w:b/>
        </w:rPr>
        <w:t>㎡</w:t>
      </w:r>
      <w:r w:rsidRPr="00933C95">
        <w:rPr>
          <w:rFonts w:hint="eastAsia"/>
          <w:b/>
        </w:rPr>
        <w:t>，若2023年</w:t>
      </w:r>
      <w:r w:rsidR="00BF034F">
        <w:rPr>
          <w:rFonts w:hint="eastAsia"/>
          <w:b/>
        </w:rPr>
        <w:t>消费者</w:t>
      </w:r>
      <w:r w:rsidR="00933C95" w:rsidRPr="00933C95">
        <w:rPr>
          <w:rFonts w:hint="eastAsia"/>
          <w:b/>
        </w:rPr>
        <w:t>预期</w:t>
      </w:r>
      <w:r w:rsidR="00BF034F">
        <w:rPr>
          <w:rFonts w:hint="eastAsia"/>
          <w:b/>
        </w:rPr>
        <w:t>和行业销售</w:t>
      </w:r>
      <w:r w:rsidR="00933C95" w:rsidRPr="00933C95">
        <w:rPr>
          <w:rFonts w:hint="eastAsia"/>
          <w:b/>
        </w:rPr>
        <w:t>不能得到良好回正，</w:t>
      </w:r>
      <w:r w:rsidR="00933C95">
        <w:rPr>
          <w:rFonts w:hint="eastAsia"/>
          <w:b/>
        </w:rPr>
        <w:t>竣工住宅</w:t>
      </w:r>
      <w:r w:rsidR="00B7253A">
        <w:rPr>
          <w:rFonts w:hint="eastAsia"/>
          <w:b/>
        </w:rPr>
        <w:t>未售</w:t>
      </w:r>
      <w:r w:rsidR="00933C95">
        <w:rPr>
          <w:rFonts w:hint="eastAsia"/>
          <w:b/>
        </w:rPr>
        <w:t>率</w:t>
      </w:r>
      <w:r w:rsidR="00933C95" w:rsidRPr="00933C95">
        <w:rPr>
          <w:rFonts w:hint="eastAsia"/>
          <w:b/>
        </w:rPr>
        <w:t>必将在接下来一两年内</w:t>
      </w:r>
      <w:r w:rsidR="00BF034F">
        <w:rPr>
          <w:rFonts w:hint="eastAsia"/>
          <w:b/>
        </w:rPr>
        <w:t>继续</w:t>
      </w:r>
      <w:r w:rsidR="00B7253A">
        <w:rPr>
          <w:rFonts w:hint="eastAsia"/>
          <w:b/>
        </w:rPr>
        <w:t>上行</w:t>
      </w:r>
      <w:r w:rsidR="00933C95" w:rsidRPr="00933C95">
        <w:rPr>
          <w:rFonts w:hint="eastAsia"/>
          <w:b/>
        </w:rPr>
        <w:t>，并导致商品住宅待售面积</w:t>
      </w:r>
      <w:r w:rsidR="00933C95">
        <w:rPr>
          <w:rFonts w:hint="eastAsia"/>
          <w:b/>
        </w:rPr>
        <w:t>加速</w:t>
      </w:r>
      <w:r w:rsidR="00933C95" w:rsidRPr="00933C95">
        <w:rPr>
          <w:rFonts w:hint="eastAsia"/>
          <w:b/>
        </w:rPr>
        <w:t>攀升</w:t>
      </w:r>
      <w:r w:rsidR="00933C95">
        <w:rPr>
          <w:rFonts w:hint="eastAsia"/>
          <w:b/>
        </w:rPr>
        <w:t>。</w:t>
      </w:r>
    </w:p>
    <w:p w14:paraId="0AB4EC53" w14:textId="4A20E8AC" w:rsidR="0049627C" w:rsidRPr="00137F99" w:rsidRDefault="0049627C" w:rsidP="0049627C">
      <w:pPr>
        <w:jc w:val="center"/>
        <w:rPr>
          <w:b/>
          <w:sz w:val="20"/>
          <w:szCs w:val="21"/>
        </w:rPr>
      </w:pPr>
      <w:r>
        <w:rPr>
          <w:rFonts w:hint="eastAsia"/>
          <w:b/>
          <w:sz w:val="20"/>
          <w:szCs w:val="21"/>
        </w:rPr>
        <w:t>图</w:t>
      </w:r>
      <w:r w:rsidRPr="00137F99">
        <w:rPr>
          <w:rFonts w:hint="eastAsia"/>
          <w:b/>
          <w:sz w:val="20"/>
          <w:szCs w:val="21"/>
        </w:rPr>
        <w:t>：</w:t>
      </w:r>
      <w:r>
        <w:rPr>
          <w:rFonts w:hint="eastAsia"/>
          <w:b/>
          <w:sz w:val="20"/>
          <w:szCs w:val="21"/>
        </w:rPr>
        <w:t>201</w:t>
      </w:r>
      <w:r w:rsidR="00A61074">
        <w:rPr>
          <w:rFonts w:hint="eastAsia"/>
          <w:b/>
          <w:sz w:val="20"/>
          <w:szCs w:val="21"/>
        </w:rPr>
        <w:t>5</w:t>
      </w:r>
      <w:r>
        <w:rPr>
          <w:rFonts w:hint="eastAsia"/>
          <w:b/>
          <w:sz w:val="20"/>
          <w:szCs w:val="21"/>
        </w:rPr>
        <w:t>年以来</w:t>
      </w:r>
      <w:r w:rsidR="00933C95">
        <w:rPr>
          <w:rFonts w:hint="eastAsia"/>
          <w:b/>
          <w:sz w:val="20"/>
          <w:szCs w:val="21"/>
        </w:rPr>
        <w:t>全国</w:t>
      </w:r>
      <w:r>
        <w:rPr>
          <w:rFonts w:hint="eastAsia"/>
          <w:b/>
          <w:sz w:val="20"/>
          <w:szCs w:val="21"/>
        </w:rPr>
        <w:t>竣工住宅</w:t>
      </w:r>
      <w:r w:rsidR="005D371E">
        <w:rPr>
          <w:rFonts w:hint="eastAsia"/>
          <w:b/>
          <w:sz w:val="20"/>
          <w:szCs w:val="21"/>
        </w:rPr>
        <w:t>中未售出的比例</w:t>
      </w:r>
    </w:p>
    <w:p w14:paraId="07560971" w14:textId="4606B091" w:rsidR="0049627C" w:rsidRDefault="008A5EF7" w:rsidP="008A5EF7">
      <w:pPr>
        <w:pStyle w:val="13"/>
        <w:spacing w:line="240" w:lineRule="auto"/>
        <w:ind w:firstLineChars="200" w:firstLine="420"/>
        <w:jc w:val="center"/>
        <w:rPr>
          <w:rFonts w:ascii="宋体" w:eastAsia="宋体" w:hAnsi="宋体"/>
          <w:color w:val="FF0000"/>
          <w:sz w:val="18"/>
          <w:szCs w:val="24"/>
        </w:rPr>
      </w:pPr>
      <w:r>
        <w:rPr>
          <w:noProof/>
        </w:rPr>
        <w:drawing>
          <wp:inline distT="0" distB="0" distL="0" distR="0" wp14:anchorId="09B08305" wp14:editId="539F1036">
            <wp:extent cx="4572000" cy="2743200"/>
            <wp:effectExtent l="0" t="0" r="0" b="0"/>
            <wp:docPr id="1" name="图表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745732" w14:textId="77777777" w:rsidR="00933C95" w:rsidRDefault="00933C95" w:rsidP="00933C95">
      <w:pPr>
        <w:pStyle w:val="13"/>
        <w:spacing w:line="240" w:lineRule="auto"/>
        <w:ind w:firstLineChars="200" w:firstLine="360"/>
        <w:jc w:val="right"/>
        <w:rPr>
          <w:rFonts w:ascii="宋体" w:eastAsia="宋体" w:hAnsi="宋体"/>
          <w:sz w:val="18"/>
          <w:szCs w:val="24"/>
        </w:rPr>
      </w:pPr>
      <w:r w:rsidRPr="0033172E">
        <w:rPr>
          <w:rFonts w:ascii="宋体" w:eastAsia="宋体" w:hAnsi="宋体" w:hint="eastAsia"/>
          <w:sz w:val="18"/>
          <w:szCs w:val="24"/>
        </w:rPr>
        <w:t>数据来源：国家统计局</w:t>
      </w:r>
    </w:p>
    <w:p w14:paraId="023B0D76" w14:textId="1490956C" w:rsidR="00447593" w:rsidRPr="00CA1104" w:rsidRDefault="00447593" w:rsidP="00B44D37">
      <w:pPr>
        <w:pStyle w:val="00"/>
      </w:pPr>
      <w:bookmarkStart w:id="10" w:name="_Toc128583517"/>
      <w:r>
        <w:rPr>
          <w:rFonts w:hint="eastAsia"/>
        </w:rPr>
        <w:t>2，狭义库存</w:t>
      </w:r>
      <w:r w:rsidR="00A555EC">
        <w:rPr>
          <w:rFonts w:hint="eastAsia"/>
        </w:rPr>
        <w:t>低于2014年高点</w:t>
      </w:r>
      <w:r>
        <w:rPr>
          <w:rFonts w:hint="eastAsia"/>
        </w:rPr>
        <w:t>，独立行情下上海、杭州“主动”增库存</w:t>
      </w:r>
      <w:bookmarkEnd w:id="10"/>
      <w:r w:rsidR="005D371E">
        <w:rPr>
          <w:rFonts w:hint="eastAsia"/>
        </w:rPr>
        <w:t>（节选）</w:t>
      </w:r>
    </w:p>
    <w:p w14:paraId="399FA829" w14:textId="58716079" w:rsidR="0049627C" w:rsidRPr="00447593" w:rsidRDefault="00447593" w:rsidP="00447593">
      <w:pPr>
        <w:pStyle w:val="01"/>
        <w:rPr>
          <w:sz w:val="18"/>
          <w:szCs w:val="24"/>
        </w:rPr>
      </w:pPr>
      <w:r w:rsidRPr="002D7619">
        <w:rPr>
          <w:rFonts w:hint="eastAsia"/>
        </w:rPr>
        <w:t>统计范围进一步拓宽到取得销许、尚待售出的狭义库存方面，也是监测业内和主管部门所重点关注的中短期指标。不同于以往行业规模整体扩容、内部分化的市场周期，上行的库存规模普遍代</w:t>
      </w:r>
      <w:r w:rsidRPr="002D7619">
        <w:rPr>
          <w:rFonts w:hint="eastAsia"/>
        </w:rPr>
        <w:lastRenderedPageBreak/>
        <w:t>表着低迷的去化速度，在当前的市场发展阶段下，</w:t>
      </w:r>
      <w:r>
        <w:rPr>
          <w:rFonts w:hint="eastAsia"/>
        </w:rPr>
        <w:t>少数</w:t>
      </w:r>
      <w:r w:rsidRPr="002D7619">
        <w:rPr>
          <w:rFonts w:hint="eastAsia"/>
        </w:rPr>
        <w:t>需求侧表现相对良好，供给侧信心较足的城市更愿意保持甚至推升新房的供给规模。</w:t>
      </w:r>
    </w:p>
    <w:p w14:paraId="503E8075" w14:textId="7A929708" w:rsidR="00F02B3D" w:rsidRPr="00447593" w:rsidRDefault="0059633E" w:rsidP="0059633E">
      <w:pPr>
        <w:pStyle w:val="01"/>
        <w:ind w:left="420" w:firstLineChars="0" w:firstLine="0"/>
        <w:outlineLvl w:val="2"/>
        <w:rPr>
          <w:b/>
        </w:rPr>
      </w:pPr>
      <w:bookmarkStart w:id="11" w:name="_Toc127966698"/>
      <w:bookmarkStart w:id="12" w:name="_Toc128583518"/>
      <w:r>
        <w:rPr>
          <w:rFonts w:cs="方正兰亭中黑简体" w:hint="eastAsia"/>
          <w:b/>
          <w:bCs/>
          <w:szCs w:val="21"/>
        </w:rPr>
        <w:t>1）、</w:t>
      </w:r>
      <w:r w:rsidR="00F02B3D" w:rsidRPr="00447593">
        <w:rPr>
          <w:rFonts w:hint="eastAsia"/>
          <w:b/>
        </w:rPr>
        <w:t>202</w:t>
      </w:r>
      <w:r w:rsidR="00A555EC">
        <w:rPr>
          <w:rFonts w:hint="eastAsia"/>
          <w:b/>
        </w:rPr>
        <w:t>0</w:t>
      </w:r>
      <w:r w:rsidR="00F02B3D" w:rsidRPr="00447593">
        <w:rPr>
          <w:rFonts w:hint="eastAsia"/>
          <w:b/>
        </w:rPr>
        <w:t>年</w:t>
      </w:r>
      <w:r w:rsidR="00A555EC">
        <w:rPr>
          <w:rFonts w:hint="eastAsia"/>
          <w:b/>
        </w:rPr>
        <w:t>后</w:t>
      </w:r>
      <w:r w:rsidR="00F02B3D" w:rsidRPr="00447593">
        <w:rPr>
          <w:rFonts w:hint="eastAsia"/>
          <w:b/>
        </w:rPr>
        <w:t>狭义库存进入高位盘整期，</w:t>
      </w:r>
      <w:r w:rsidR="00D87C4B" w:rsidRPr="00447593">
        <w:rPr>
          <w:rFonts w:hint="eastAsia"/>
          <w:b/>
        </w:rPr>
        <w:t>新增供应</w:t>
      </w:r>
      <w:r w:rsidR="00F02B3D" w:rsidRPr="00447593">
        <w:rPr>
          <w:rFonts w:hint="eastAsia"/>
          <w:b/>
        </w:rPr>
        <w:t>降速</w:t>
      </w:r>
      <w:r w:rsidR="00F01E13" w:rsidRPr="00447593">
        <w:rPr>
          <w:rFonts w:hint="eastAsia"/>
          <w:b/>
        </w:rPr>
        <w:t>助</w:t>
      </w:r>
      <w:r w:rsidR="00F02B3D" w:rsidRPr="00447593">
        <w:rPr>
          <w:rFonts w:hint="eastAsia"/>
          <w:b/>
        </w:rPr>
        <w:t>库存暂缓上升</w:t>
      </w:r>
      <w:bookmarkEnd w:id="11"/>
      <w:bookmarkEnd w:id="12"/>
      <w:r w:rsidR="005D371E">
        <w:rPr>
          <w:rFonts w:hint="eastAsia"/>
          <w:b/>
        </w:rPr>
        <w:t>（略）</w:t>
      </w:r>
    </w:p>
    <w:p w14:paraId="67EF270B" w14:textId="73025C6B" w:rsidR="00A61074" w:rsidRPr="005D371E" w:rsidRDefault="00A61074" w:rsidP="005D371E">
      <w:pPr>
        <w:jc w:val="center"/>
        <w:rPr>
          <w:b/>
          <w:sz w:val="20"/>
          <w:szCs w:val="21"/>
        </w:rPr>
      </w:pPr>
      <w:r>
        <w:rPr>
          <w:rFonts w:hint="eastAsia"/>
          <w:b/>
          <w:sz w:val="20"/>
          <w:szCs w:val="21"/>
        </w:rPr>
        <w:t>图</w:t>
      </w:r>
      <w:r w:rsidRPr="00137F99">
        <w:rPr>
          <w:rFonts w:hint="eastAsia"/>
          <w:b/>
          <w:sz w:val="20"/>
          <w:szCs w:val="21"/>
        </w:rPr>
        <w:t>：</w:t>
      </w:r>
      <w:r>
        <w:rPr>
          <w:rFonts w:hint="eastAsia"/>
          <w:b/>
          <w:sz w:val="20"/>
          <w:szCs w:val="21"/>
        </w:rPr>
        <w:t>2014</w:t>
      </w:r>
      <w:r>
        <w:rPr>
          <w:rFonts w:hint="eastAsia"/>
          <w:b/>
          <w:sz w:val="20"/>
          <w:szCs w:val="21"/>
        </w:rPr>
        <w:t>年以来</w:t>
      </w:r>
      <w:r w:rsidR="00B5618B">
        <w:rPr>
          <w:rFonts w:hint="eastAsia"/>
          <w:b/>
          <w:sz w:val="20"/>
          <w:szCs w:val="21"/>
        </w:rPr>
        <w:t>50</w:t>
      </w:r>
      <w:r w:rsidR="00B5618B">
        <w:rPr>
          <w:rFonts w:hint="eastAsia"/>
          <w:b/>
          <w:sz w:val="20"/>
          <w:szCs w:val="21"/>
        </w:rPr>
        <w:t>个典型城市狭义库存</w:t>
      </w:r>
      <w:r w:rsidR="005D371E">
        <w:rPr>
          <w:rFonts w:hint="eastAsia"/>
          <w:b/>
          <w:sz w:val="20"/>
          <w:szCs w:val="21"/>
        </w:rPr>
        <w:t>（略）</w:t>
      </w:r>
    </w:p>
    <w:p w14:paraId="06B1DCA5" w14:textId="4954AC34" w:rsidR="00190A1E" w:rsidRDefault="00190A1E" w:rsidP="00190A1E">
      <w:pPr>
        <w:pStyle w:val="13"/>
        <w:spacing w:line="240" w:lineRule="auto"/>
        <w:ind w:firstLineChars="200" w:firstLine="360"/>
        <w:jc w:val="left"/>
        <w:rPr>
          <w:rFonts w:ascii="宋体" w:eastAsia="宋体" w:hAnsi="宋体"/>
          <w:sz w:val="18"/>
          <w:szCs w:val="24"/>
        </w:rPr>
      </w:pPr>
      <w:r>
        <w:rPr>
          <w:rFonts w:ascii="宋体" w:eastAsia="宋体" w:hAnsi="宋体" w:hint="eastAsia"/>
          <w:sz w:val="18"/>
          <w:szCs w:val="24"/>
        </w:rPr>
        <w:t>注：为保持长时间跨度的数据连贯性，选取了50个典型城市，其中4个一线城市，25个二线城市，21个三线城市</w:t>
      </w:r>
      <w:r w:rsidR="008E5746">
        <w:rPr>
          <w:rFonts w:ascii="宋体" w:eastAsia="宋体" w:hAnsi="宋体" w:hint="eastAsia"/>
          <w:sz w:val="18"/>
          <w:szCs w:val="24"/>
        </w:rPr>
        <w:t>，</w:t>
      </w:r>
      <w:r w:rsidR="0064720A">
        <w:rPr>
          <w:rFonts w:ascii="宋体" w:eastAsia="宋体" w:hAnsi="宋体" w:hint="eastAsia"/>
          <w:sz w:val="18"/>
          <w:szCs w:val="24"/>
        </w:rPr>
        <w:t>其中汕头、太仓、温州、芜湖、钦州2014年数据缺失，使用2015年数据估算，</w:t>
      </w:r>
      <w:r w:rsidR="008E5746">
        <w:rPr>
          <w:rFonts w:ascii="宋体" w:eastAsia="宋体" w:hAnsi="宋体" w:hint="eastAsia"/>
          <w:sz w:val="18"/>
          <w:szCs w:val="24"/>
        </w:rPr>
        <w:t>本节下同</w:t>
      </w:r>
    </w:p>
    <w:p w14:paraId="367A49CB" w14:textId="79D6A074" w:rsidR="00D87C4B" w:rsidRPr="00447593" w:rsidRDefault="0059633E" w:rsidP="0059633E">
      <w:pPr>
        <w:pStyle w:val="01"/>
        <w:ind w:left="420" w:firstLineChars="0" w:firstLine="0"/>
        <w:outlineLvl w:val="2"/>
        <w:rPr>
          <w:b/>
        </w:rPr>
      </w:pPr>
      <w:bookmarkStart w:id="13" w:name="_Toc127966699"/>
      <w:bookmarkStart w:id="14" w:name="_Toc128583519"/>
      <w:r>
        <w:rPr>
          <w:rFonts w:cs="方正兰亭中黑简体" w:hint="eastAsia"/>
          <w:b/>
          <w:bCs/>
          <w:szCs w:val="21"/>
        </w:rPr>
        <w:t>2）、</w:t>
      </w:r>
      <w:r w:rsidR="00D87C4B" w:rsidRPr="00447593">
        <w:rPr>
          <w:rFonts w:hint="eastAsia"/>
          <w:b/>
        </w:rPr>
        <w:t>各能级</w:t>
      </w:r>
      <w:r w:rsidR="001F1CA2" w:rsidRPr="00447593">
        <w:rPr>
          <w:rFonts w:hint="eastAsia"/>
          <w:b/>
        </w:rPr>
        <w:t>库存</w:t>
      </w:r>
      <w:r w:rsidR="00D87C4B" w:rsidRPr="00447593">
        <w:rPr>
          <w:rFonts w:hint="eastAsia"/>
          <w:b/>
        </w:rPr>
        <w:t>走势明显分化，</w:t>
      </w:r>
      <w:r w:rsidR="00800212" w:rsidRPr="00447593">
        <w:rPr>
          <w:rFonts w:hint="eastAsia"/>
          <w:b/>
        </w:rPr>
        <w:t>预期修复</w:t>
      </w:r>
      <w:r w:rsidR="00D87C4B" w:rsidRPr="00447593">
        <w:rPr>
          <w:rFonts w:hint="eastAsia"/>
          <w:b/>
        </w:rPr>
        <w:t>助一线城市</w:t>
      </w:r>
      <w:r w:rsidR="002D7619" w:rsidRPr="00447593">
        <w:rPr>
          <w:rFonts w:hint="eastAsia"/>
          <w:b/>
        </w:rPr>
        <w:t>狭义</w:t>
      </w:r>
      <w:r w:rsidR="00D87C4B" w:rsidRPr="00447593">
        <w:rPr>
          <w:rFonts w:hint="eastAsia"/>
          <w:b/>
        </w:rPr>
        <w:t>库存规模再上台阶</w:t>
      </w:r>
      <w:bookmarkEnd w:id="13"/>
      <w:bookmarkEnd w:id="14"/>
    </w:p>
    <w:p w14:paraId="741B448D" w14:textId="5244C85A" w:rsidR="00F02B3D" w:rsidRDefault="008E5746" w:rsidP="008E5746">
      <w:pPr>
        <w:pStyle w:val="01"/>
      </w:pPr>
      <w:r>
        <w:rPr>
          <w:rFonts w:hint="eastAsia"/>
        </w:rPr>
        <w:t>各能级城市表现方面，</w:t>
      </w:r>
      <w:r w:rsidR="00F02B3D">
        <w:rPr>
          <w:rFonts w:hint="eastAsia"/>
        </w:rPr>
        <w:t>可以看到各能级城市库存指数涨跌趋势变化与整体大致相同，但各阶段变化幅度不一，这一方面与销售表现相关，另一方面也反映了供给侧信心的差异。</w:t>
      </w:r>
    </w:p>
    <w:p w14:paraId="432BB2F8" w14:textId="69E3D76A" w:rsidR="00BE59C9" w:rsidRDefault="008E5746" w:rsidP="00BE59C9">
      <w:pPr>
        <w:pStyle w:val="01"/>
        <w:ind w:firstLine="422"/>
      </w:pPr>
      <w:r w:rsidRPr="00F01E13">
        <w:rPr>
          <w:rFonts w:hint="eastAsia"/>
          <w:b/>
        </w:rPr>
        <w:t>一线</w:t>
      </w:r>
      <w:r w:rsidR="002C56CA">
        <w:rPr>
          <w:rFonts w:hint="eastAsia"/>
          <w:b/>
        </w:rPr>
        <w:t>2022年狭义库存逆市上涨，但</w:t>
      </w:r>
      <w:r w:rsidR="0054209C">
        <w:rPr>
          <w:rFonts w:hint="eastAsia"/>
          <w:b/>
        </w:rPr>
        <w:t>相比2014年的降幅仍是各能级中最大的，</w:t>
      </w:r>
      <w:r w:rsidR="00F01E13">
        <w:rPr>
          <w:rFonts w:hint="eastAsia"/>
          <w:b/>
        </w:rPr>
        <w:t>从中</w:t>
      </w:r>
      <w:r w:rsidR="00F01E13" w:rsidRPr="00F01E13">
        <w:rPr>
          <w:rFonts w:hint="eastAsia"/>
          <w:b/>
        </w:rPr>
        <w:t>折射出的市场信心也更为坚定</w:t>
      </w:r>
      <w:r w:rsidR="00F01E13">
        <w:rPr>
          <w:rFonts w:hint="eastAsia"/>
        </w:rPr>
        <w:t>。</w:t>
      </w:r>
      <w:r w:rsidR="0054209C">
        <w:rPr>
          <w:rFonts w:hint="eastAsia"/>
        </w:rPr>
        <w:t>在2015-2017年的“去库存”周期中，一线城市狭义库存规模下降最大，至2017年末一线城市狭义库存仅2235万</w:t>
      </w:r>
      <w:r w:rsidR="00E276ED">
        <w:rPr>
          <w:rFonts w:hint="eastAsia"/>
        </w:rPr>
        <w:t>㎡</w:t>
      </w:r>
      <w:r w:rsidR="0054209C">
        <w:rPr>
          <w:rFonts w:hint="eastAsia"/>
        </w:rPr>
        <w:t>，不及2014年末的一半，而2020年下半年的成交的补偿性上涨，也使得2020年一线城市狭义库存出现了</w:t>
      </w:r>
      <w:r w:rsidR="00BE59C9">
        <w:rPr>
          <w:rFonts w:hint="eastAsia"/>
        </w:rPr>
        <w:t>各能级中唯一的同比回落。因此在经历了2021年下半年到2022年三季度的盘整周期后，</w:t>
      </w:r>
      <w:r w:rsidR="00BE59C9" w:rsidRPr="00BE59C9">
        <w:rPr>
          <w:rFonts w:hint="eastAsia"/>
          <w:b/>
        </w:rPr>
        <w:t>得益于优秀的销售表现，以及相对前期高点最低的各能级中最低的狭义库存规模，2022年下半年一线城市供给侧信心不降反升，</w:t>
      </w:r>
      <w:r w:rsidR="00BE59C9" w:rsidRPr="00BE59C9">
        <w:rPr>
          <w:rFonts w:hint="eastAsia"/>
        </w:rPr>
        <w:t>狭义库存规模反而再上台阶，</w:t>
      </w:r>
      <w:r w:rsidR="00BE59C9">
        <w:rPr>
          <w:rFonts w:hint="eastAsia"/>
        </w:rPr>
        <w:t>2022年12月末库存达到近3807万㎡，反而较年初上升了8%左右，也是各能级城市中唯一2022年库存规模上升的。</w:t>
      </w:r>
    </w:p>
    <w:p w14:paraId="7EF5D67F" w14:textId="27F02EEB" w:rsidR="00CF4378" w:rsidRDefault="00732A87" w:rsidP="00CF4378">
      <w:pPr>
        <w:pStyle w:val="01"/>
        <w:ind w:firstLine="422"/>
      </w:pPr>
      <w:r w:rsidRPr="00732A87">
        <w:rPr>
          <w:rFonts w:hint="eastAsia"/>
          <w:b/>
        </w:rPr>
        <w:t>二线城市</w:t>
      </w:r>
      <w:r w:rsidR="00BE59C9">
        <w:rPr>
          <w:rFonts w:hint="eastAsia"/>
          <w:b/>
        </w:rPr>
        <w:t>供给侧“转向”及时，狭义库存两连降</w:t>
      </w:r>
      <w:r>
        <w:rPr>
          <w:rFonts w:hint="eastAsia"/>
          <w:b/>
        </w:rPr>
        <w:t>。</w:t>
      </w:r>
      <w:r w:rsidR="00B82A7A">
        <w:rPr>
          <w:rFonts w:hint="eastAsia"/>
        </w:rPr>
        <w:t>二线城市狭义库存</w:t>
      </w:r>
      <w:r>
        <w:rPr>
          <w:rFonts w:hint="eastAsia"/>
        </w:rPr>
        <w:t>在</w:t>
      </w:r>
      <w:r w:rsidR="00B82A7A">
        <w:rPr>
          <w:rFonts w:hint="eastAsia"/>
        </w:rPr>
        <w:t>2017-2020年间增长了54%，</w:t>
      </w:r>
      <w:r>
        <w:rPr>
          <w:rFonts w:hint="eastAsia"/>
        </w:rPr>
        <w:t>2020年末即达到了2.7亿</w:t>
      </w:r>
      <w:r w:rsidR="00F13738">
        <w:rPr>
          <w:rFonts w:hint="eastAsia"/>
        </w:rPr>
        <w:t>㎡</w:t>
      </w:r>
      <w:r>
        <w:rPr>
          <w:rFonts w:hint="eastAsia"/>
        </w:rPr>
        <w:t>左右的高位</w:t>
      </w:r>
      <w:r w:rsidR="00B82A7A">
        <w:rPr>
          <w:rFonts w:hint="eastAsia"/>
        </w:rPr>
        <w:t>。</w:t>
      </w:r>
      <w:r w:rsidR="00BE59C9">
        <w:rPr>
          <w:rFonts w:hint="eastAsia"/>
        </w:rPr>
        <w:t>进入2021年后，</w:t>
      </w:r>
      <w:r w:rsidR="00B82A7A">
        <w:rPr>
          <w:rFonts w:hint="eastAsia"/>
        </w:rPr>
        <w:t>面对需求景气的下行风险，即便成交面积同比微增2%，</w:t>
      </w:r>
      <w:r w:rsidR="00B82A7A" w:rsidRPr="00B82A7A">
        <w:rPr>
          <w:rFonts w:hint="eastAsia"/>
          <w:b/>
        </w:rPr>
        <w:t>2021年</w:t>
      </w:r>
      <w:r w:rsidR="00BE59C9" w:rsidRPr="00B82A7A">
        <w:rPr>
          <w:rFonts w:hint="eastAsia"/>
          <w:b/>
        </w:rPr>
        <w:t>二线</w:t>
      </w:r>
      <w:r w:rsidR="00B82A7A" w:rsidRPr="00B82A7A">
        <w:rPr>
          <w:rFonts w:hint="eastAsia"/>
          <w:b/>
        </w:rPr>
        <w:t>狭义库存</w:t>
      </w:r>
      <w:r w:rsidR="00B82A7A">
        <w:rPr>
          <w:rFonts w:hint="eastAsia"/>
          <w:b/>
        </w:rPr>
        <w:t>指标</w:t>
      </w:r>
      <w:r w:rsidR="00B82A7A" w:rsidRPr="00B82A7A">
        <w:rPr>
          <w:rFonts w:hint="eastAsia"/>
          <w:b/>
        </w:rPr>
        <w:t>“率先”发出了</w:t>
      </w:r>
      <w:r w:rsidR="00B82A7A">
        <w:rPr>
          <w:rFonts w:hint="eastAsia"/>
          <w:b/>
        </w:rPr>
        <w:t>转向信号</w:t>
      </w:r>
      <w:r w:rsidR="00B82A7A" w:rsidRPr="00B82A7A">
        <w:rPr>
          <w:rFonts w:hint="eastAsia"/>
          <w:b/>
        </w:rPr>
        <w:t>，供给侧早早开启了“以销定供”模式</w:t>
      </w:r>
      <w:r w:rsidR="00B82A7A" w:rsidRPr="00CF4378">
        <w:rPr>
          <w:rFonts w:hint="eastAsia"/>
        </w:rPr>
        <w:t>，</w:t>
      </w:r>
      <w:r w:rsidR="00CF4378" w:rsidRPr="00CF4378">
        <w:rPr>
          <w:rFonts w:hint="eastAsia"/>
        </w:rPr>
        <w:t>2021、2022年狭义库存规模连续两年负增长</w:t>
      </w:r>
      <w:r w:rsidR="00B82A7A">
        <w:rPr>
          <w:rFonts w:hint="eastAsia"/>
        </w:rPr>
        <w:t>。对比2014年的前期高点来看，2022年末二线城市狭义库存降幅约17%，略高于一线城市，</w:t>
      </w:r>
      <w:r w:rsidR="00CF4378">
        <w:rPr>
          <w:rFonts w:hint="eastAsia"/>
        </w:rPr>
        <w:t>也正是得益于狭义库存规模控制的相对良好，整体来看二线城市供给侧依旧保持了一定的信心，项目开盘规模仍能与市场成交规模相匹配，2022年狭义库存同比下降3%，降幅明显小于三四线城市平均。</w:t>
      </w:r>
    </w:p>
    <w:p w14:paraId="7E0EC33B" w14:textId="0717760E" w:rsidR="00CF4378" w:rsidRDefault="00D87C4B" w:rsidP="00AF17F5">
      <w:pPr>
        <w:pStyle w:val="01"/>
        <w:ind w:firstLine="422"/>
      </w:pPr>
      <w:r>
        <w:rPr>
          <w:rFonts w:hint="eastAsia"/>
          <w:b/>
        </w:rPr>
        <w:t>三</w:t>
      </w:r>
      <w:r w:rsidR="00272F8D">
        <w:rPr>
          <w:rFonts w:hint="eastAsia"/>
          <w:b/>
        </w:rPr>
        <w:t>四</w:t>
      </w:r>
      <w:r>
        <w:rPr>
          <w:rFonts w:hint="eastAsia"/>
          <w:b/>
        </w:rPr>
        <w:t>线城市</w:t>
      </w:r>
      <w:r w:rsidR="00272F8D">
        <w:rPr>
          <w:rFonts w:hint="eastAsia"/>
          <w:b/>
        </w:rPr>
        <w:t>信心“衰退”，需求弱市下狭义库存</w:t>
      </w:r>
      <w:r w:rsidR="00B82A7A">
        <w:rPr>
          <w:rFonts w:hint="eastAsia"/>
          <w:b/>
        </w:rPr>
        <w:t>快速回落</w:t>
      </w:r>
      <w:r w:rsidR="00272F8D">
        <w:rPr>
          <w:rFonts w:hint="eastAsia"/>
          <w:b/>
        </w:rPr>
        <w:t>。</w:t>
      </w:r>
      <w:r w:rsidR="00CF4378">
        <w:rPr>
          <w:rFonts w:hint="eastAsia"/>
        </w:rPr>
        <w:t>相较二线城市而言，三四线城市市场的转向速度相对较慢，确定方向后的“加速度”也更快，三四线2022年年末</w:t>
      </w:r>
      <w:r w:rsidR="00AF17F5">
        <w:rPr>
          <w:rFonts w:hint="eastAsia"/>
        </w:rPr>
        <w:t>狭义</w:t>
      </w:r>
      <w:r w:rsidR="00CF4378">
        <w:rPr>
          <w:rFonts w:hint="eastAsia"/>
        </w:rPr>
        <w:t>库存同比</w:t>
      </w:r>
      <w:r w:rsidR="00AF17F5">
        <w:rPr>
          <w:rFonts w:hint="eastAsia"/>
        </w:rPr>
        <w:t>降幅高达</w:t>
      </w:r>
      <w:r w:rsidR="00CF4378">
        <w:rPr>
          <w:rFonts w:hint="eastAsia"/>
        </w:rPr>
        <w:t>6.5%。相较于低迷的销售端而言，三四线城市供给侧出现了更为显著的规模收缩，在市场走向不明、企业资金面承压的情况下，再加之前期土地交易量下降的影响，2022年三四线新房项目领取销许的规模明显下降，并且明显超过了新房交易规模的下降速度。另一方面，结合更长时间的库存和成交数据来看，可以看到在2016-2019年的成交放量周期中，三线城市交易量出现了更大幅度的上升，其狭义库存指数也一直领跑于各能级城市，</w:t>
      </w:r>
      <w:r w:rsidR="00CF4378" w:rsidRPr="00AF17F5">
        <w:rPr>
          <w:rFonts w:hint="eastAsia"/>
          <w:b/>
        </w:rPr>
        <w:t>2021年末</w:t>
      </w:r>
      <w:r w:rsidR="00AF17F5">
        <w:rPr>
          <w:rFonts w:hint="eastAsia"/>
          <w:b/>
        </w:rPr>
        <w:t>三四线</w:t>
      </w:r>
      <w:r w:rsidR="00CF4378" w:rsidRPr="00AF17F5">
        <w:rPr>
          <w:rFonts w:hint="eastAsia"/>
          <w:b/>
        </w:rPr>
        <w:t>狭义库存指数高达97，也是各能级中唯一接近前期2014年高点的</w:t>
      </w:r>
      <w:r w:rsidR="00AF17F5">
        <w:rPr>
          <w:rFonts w:hint="eastAsia"/>
        </w:rPr>
        <w:t>，高企的库存指标也给城市供给侧造成了更大的压力。</w:t>
      </w:r>
      <w:r w:rsidR="00CF4378">
        <w:rPr>
          <w:rFonts w:hint="eastAsia"/>
        </w:rPr>
        <w:t>。</w:t>
      </w:r>
    </w:p>
    <w:p w14:paraId="733F45A5" w14:textId="77777777" w:rsidR="005D371E" w:rsidRDefault="005D371E">
      <w:pPr>
        <w:widowControl/>
        <w:jc w:val="left"/>
        <w:rPr>
          <w:b/>
          <w:sz w:val="20"/>
          <w:szCs w:val="21"/>
        </w:rPr>
      </w:pPr>
      <w:r>
        <w:rPr>
          <w:b/>
          <w:sz w:val="20"/>
          <w:szCs w:val="21"/>
        </w:rPr>
        <w:br w:type="page"/>
      </w:r>
    </w:p>
    <w:p w14:paraId="13C0AE10" w14:textId="3CA07898" w:rsidR="008E5746" w:rsidRPr="00137F99" w:rsidRDefault="008E5746" w:rsidP="008E5746">
      <w:pPr>
        <w:jc w:val="center"/>
        <w:rPr>
          <w:b/>
          <w:sz w:val="20"/>
          <w:szCs w:val="21"/>
        </w:rPr>
      </w:pPr>
      <w:r>
        <w:rPr>
          <w:rFonts w:hint="eastAsia"/>
          <w:b/>
          <w:sz w:val="20"/>
          <w:szCs w:val="21"/>
        </w:rPr>
        <w:lastRenderedPageBreak/>
        <w:t>图</w:t>
      </w:r>
      <w:r w:rsidRPr="00137F99">
        <w:rPr>
          <w:rFonts w:hint="eastAsia"/>
          <w:b/>
          <w:sz w:val="20"/>
          <w:szCs w:val="21"/>
        </w:rPr>
        <w:t>：</w:t>
      </w:r>
      <w:r>
        <w:rPr>
          <w:rFonts w:hint="eastAsia"/>
          <w:b/>
          <w:sz w:val="20"/>
          <w:szCs w:val="21"/>
        </w:rPr>
        <w:t>各能级城市</w:t>
      </w:r>
      <w:r w:rsidRPr="00F6565A">
        <w:rPr>
          <w:rFonts w:hint="eastAsia"/>
          <w:b/>
          <w:sz w:val="20"/>
          <w:szCs w:val="21"/>
          <w:highlight w:val="cyan"/>
        </w:rPr>
        <w:t>狭义库存</w:t>
      </w:r>
      <w:r>
        <w:rPr>
          <w:rFonts w:hint="eastAsia"/>
          <w:b/>
          <w:sz w:val="20"/>
          <w:szCs w:val="21"/>
        </w:rPr>
        <w:t>定基指数变化（</w:t>
      </w:r>
      <w:r>
        <w:rPr>
          <w:rFonts w:hint="eastAsia"/>
          <w:b/>
          <w:sz w:val="20"/>
          <w:szCs w:val="21"/>
        </w:rPr>
        <w:t>201</w:t>
      </w:r>
      <w:r w:rsidR="0054209C">
        <w:rPr>
          <w:rFonts w:hint="eastAsia"/>
          <w:b/>
          <w:sz w:val="20"/>
          <w:szCs w:val="21"/>
        </w:rPr>
        <w:t>4</w:t>
      </w:r>
      <w:r>
        <w:rPr>
          <w:rFonts w:hint="eastAsia"/>
          <w:b/>
          <w:sz w:val="20"/>
          <w:szCs w:val="21"/>
        </w:rPr>
        <w:t>年</w:t>
      </w:r>
      <w:r w:rsidR="0054209C">
        <w:rPr>
          <w:rFonts w:hint="eastAsia"/>
          <w:b/>
          <w:sz w:val="20"/>
          <w:szCs w:val="21"/>
        </w:rPr>
        <w:t>末</w:t>
      </w:r>
      <w:r w:rsidR="0054209C">
        <w:rPr>
          <w:rFonts w:hint="eastAsia"/>
          <w:b/>
          <w:sz w:val="20"/>
          <w:szCs w:val="21"/>
        </w:rPr>
        <w:t>=100</w:t>
      </w:r>
      <w:r>
        <w:rPr>
          <w:rFonts w:hint="eastAsia"/>
          <w:b/>
          <w:sz w:val="20"/>
          <w:szCs w:val="21"/>
        </w:rPr>
        <w:t>）</w:t>
      </w:r>
    </w:p>
    <w:p w14:paraId="06104A86" w14:textId="683555F0" w:rsidR="008E5746" w:rsidRDefault="0054209C" w:rsidP="008E5746">
      <w:pPr>
        <w:pStyle w:val="01"/>
        <w:spacing w:line="240" w:lineRule="auto"/>
      </w:pPr>
      <w:r>
        <w:rPr>
          <w:noProof/>
        </w:rPr>
        <w:drawing>
          <wp:inline distT="0" distB="0" distL="0" distR="0" wp14:anchorId="612EBFA9" wp14:editId="5AABFED6">
            <wp:extent cx="5486400" cy="2615565"/>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A33781" w14:textId="77777777" w:rsidR="008E5746" w:rsidRDefault="008E5746" w:rsidP="008E5746">
      <w:pPr>
        <w:pStyle w:val="13"/>
        <w:spacing w:line="240" w:lineRule="auto"/>
        <w:ind w:firstLineChars="200" w:firstLine="360"/>
        <w:jc w:val="right"/>
        <w:rPr>
          <w:rFonts w:ascii="宋体" w:eastAsia="宋体" w:hAnsi="宋体"/>
          <w:sz w:val="18"/>
          <w:szCs w:val="24"/>
        </w:rPr>
      </w:pPr>
      <w:r w:rsidRPr="0033172E">
        <w:rPr>
          <w:rFonts w:ascii="宋体" w:eastAsia="宋体" w:hAnsi="宋体" w:hint="eastAsia"/>
          <w:sz w:val="18"/>
          <w:szCs w:val="24"/>
        </w:rPr>
        <w:t>数据来源：</w:t>
      </w:r>
      <w:r>
        <w:rPr>
          <w:rFonts w:ascii="宋体" w:eastAsia="宋体" w:hAnsi="宋体" w:hint="eastAsia"/>
          <w:sz w:val="18"/>
          <w:szCs w:val="24"/>
        </w:rPr>
        <w:t>CRIC</w:t>
      </w:r>
    </w:p>
    <w:p w14:paraId="211991FA" w14:textId="3E0ABB56" w:rsidR="00272F8D" w:rsidRPr="00137F99" w:rsidRDefault="00272F8D" w:rsidP="00272F8D">
      <w:pPr>
        <w:jc w:val="center"/>
        <w:rPr>
          <w:b/>
          <w:sz w:val="20"/>
          <w:szCs w:val="21"/>
        </w:rPr>
      </w:pPr>
      <w:r>
        <w:rPr>
          <w:rFonts w:hint="eastAsia"/>
          <w:b/>
          <w:sz w:val="20"/>
          <w:szCs w:val="21"/>
        </w:rPr>
        <w:t>图</w:t>
      </w:r>
      <w:r w:rsidRPr="00137F99">
        <w:rPr>
          <w:rFonts w:hint="eastAsia"/>
          <w:b/>
          <w:sz w:val="20"/>
          <w:szCs w:val="21"/>
        </w:rPr>
        <w:t>：</w:t>
      </w:r>
      <w:r>
        <w:rPr>
          <w:rFonts w:hint="eastAsia"/>
          <w:b/>
          <w:sz w:val="20"/>
          <w:szCs w:val="21"/>
        </w:rPr>
        <w:t>各能级城市</w:t>
      </w:r>
      <w:r w:rsidRPr="00F6565A">
        <w:rPr>
          <w:rFonts w:hint="eastAsia"/>
          <w:b/>
          <w:sz w:val="20"/>
          <w:szCs w:val="21"/>
          <w:highlight w:val="cyan"/>
        </w:rPr>
        <w:t>商品住宅销售面积</w:t>
      </w:r>
      <w:r>
        <w:rPr>
          <w:rFonts w:hint="eastAsia"/>
          <w:b/>
          <w:sz w:val="20"/>
          <w:szCs w:val="21"/>
        </w:rPr>
        <w:t>定基指数月度变化（</w:t>
      </w:r>
      <w:r>
        <w:rPr>
          <w:rFonts w:hint="eastAsia"/>
          <w:b/>
          <w:sz w:val="20"/>
          <w:szCs w:val="21"/>
        </w:rPr>
        <w:t>201</w:t>
      </w:r>
      <w:r w:rsidR="0054209C">
        <w:rPr>
          <w:rFonts w:hint="eastAsia"/>
          <w:b/>
          <w:sz w:val="20"/>
          <w:szCs w:val="21"/>
        </w:rPr>
        <w:t>4</w:t>
      </w:r>
      <w:r>
        <w:rPr>
          <w:rFonts w:hint="eastAsia"/>
          <w:b/>
          <w:sz w:val="20"/>
          <w:szCs w:val="21"/>
        </w:rPr>
        <w:t>年</w:t>
      </w:r>
      <w:r>
        <w:rPr>
          <w:rFonts w:hint="eastAsia"/>
          <w:b/>
          <w:sz w:val="20"/>
          <w:szCs w:val="21"/>
        </w:rPr>
        <w:t>=100</w:t>
      </w:r>
      <w:r>
        <w:rPr>
          <w:rFonts w:hint="eastAsia"/>
          <w:b/>
          <w:sz w:val="20"/>
          <w:szCs w:val="21"/>
        </w:rPr>
        <w:t>）</w:t>
      </w:r>
    </w:p>
    <w:p w14:paraId="611AC324" w14:textId="146FC89F" w:rsidR="00272F8D" w:rsidRDefault="0054209C" w:rsidP="00272F8D">
      <w:pPr>
        <w:pStyle w:val="01"/>
        <w:spacing w:line="240" w:lineRule="auto"/>
      </w:pPr>
      <w:r>
        <w:rPr>
          <w:noProof/>
        </w:rPr>
        <w:drawing>
          <wp:inline distT="0" distB="0" distL="0" distR="0" wp14:anchorId="1F703BD4" wp14:editId="309266DE">
            <wp:extent cx="5486400" cy="2615565"/>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5BAE5D" w14:textId="77777777" w:rsidR="00272F8D" w:rsidRDefault="00272F8D" w:rsidP="00272F8D">
      <w:pPr>
        <w:pStyle w:val="13"/>
        <w:spacing w:line="240" w:lineRule="auto"/>
        <w:ind w:firstLineChars="200" w:firstLine="360"/>
        <w:jc w:val="right"/>
        <w:rPr>
          <w:rFonts w:ascii="宋体" w:eastAsia="宋体" w:hAnsi="宋体"/>
          <w:sz w:val="18"/>
          <w:szCs w:val="24"/>
        </w:rPr>
      </w:pPr>
      <w:r w:rsidRPr="0033172E">
        <w:rPr>
          <w:rFonts w:ascii="宋体" w:eastAsia="宋体" w:hAnsi="宋体" w:hint="eastAsia"/>
          <w:sz w:val="18"/>
          <w:szCs w:val="24"/>
        </w:rPr>
        <w:t>数据来源：</w:t>
      </w:r>
      <w:r>
        <w:rPr>
          <w:rFonts w:ascii="宋体" w:eastAsia="宋体" w:hAnsi="宋体" w:hint="eastAsia"/>
          <w:sz w:val="18"/>
          <w:szCs w:val="24"/>
        </w:rPr>
        <w:t>CRIC</w:t>
      </w:r>
    </w:p>
    <w:p w14:paraId="3D0E621A" w14:textId="4E9382A2" w:rsidR="00DB6407" w:rsidRPr="00447593" w:rsidRDefault="0059633E" w:rsidP="0059633E">
      <w:pPr>
        <w:pStyle w:val="01"/>
        <w:ind w:left="420" w:firstLineChars="0" w:firstLine="0"/>
        <w:outlineLvl w:val="2"/>
        <w:rPr>
          <w:b/>
        </w:rPr>
      </w:pPr>
      <w:bookmarkStart w:id="15" w:name="_Toc127966700"/>
      <w:bookmarkStart w:id="16" w:name="_Toc128583520"/>
      <w:r>
        <w:rPr>
          <w:rFonts w:hint="eastAsia"/>
          <w:b/>
        </w:rPr>
        <w:t>3）、</w:t>
      </w:r>
      <w:r w:rsidR="00855819">
        <w:rPr>
          <w:rFonts w:hint="eastAsia"/>
          <w:b/>
        </w:rPr>
        <w:t>仍有</w:t>
      </w:r>
      <w:r>
        <w:rPr>
          <w:rFonts w:hint="eastAsia"/>
          <w:b/>
        </w:rPr>
        <w:t>四成城市</w:t>
      </w:r>
      <w:r w:rsidR="006B72D2">
        <w:rPr>
          <w:rFonts w:hint="eastAsia"/>
          <w:b/>
        </w:rPr>
        <w:t>库存</w:t>
      </w:r>
      <w:r w:rsidR="00BC065E">
        <w:rPr>
          <w:rFonts w:hint="eastAsia"/>
          <w:b/>
        </w:rPr>
        <w:t>高于</w:t>
      </w:r>
      <w:r w:rsidR="00A555EC">
        <w:rPr>
          <w:rFonts w:hint="eastAsia"/>
          <w:b/>
        </w:rPr>
        <w:t>2014年高点</w:t>
      </w:r>
      <w:r w:rsidR="00DB6407" w:rsidRPr="00447593">
        <w:rPr>
          <w:rFonts w:hint="eastAsia"/>
          <w:b/>
        </w:rPr>
        <w:t>，</w:t>
      </w:r>
      <w:r w:rsidR="002D7619" w:rsidRPr="00447593">
        <w:rPr>
          <w:rFonts w:hint="eastAsia"/>
          <w:b/>
        </w:rPr>
        <w:t>上海</w:t>
      </w:r>
      <w:r w:rsidR="005007A9" w:rsidRPr="00447593">
        <w:rPr>
          <w:rFonts w:hint="eastAsia"/>
          <w:b/>
        </w:rPr>
        <w:t>同比</w:t>
      </w:r>
      <w:r w:rsidR="002D7619" w:rsidRPr="00447593">
        <w:rPr>
          <w:rFonts w:hint="eastAsia"/>
          <w:b/>
        </w:rPr>
        <w:t>领增彰显供给侧信心</w:t>
      </w:r>
      <w:bookmarkEnd w:id="15"/>
      <w:bookmarkEnd w:id="16"/>
      <w:r w:rsidR="005D371E">
        <w:rPr>
          <w:rFonts w:hint="eastAsia"/>
          <w:b/>
        </w:rPr>
        <w:t>（节选）</w:t>
      </w:r>
    </w:p>
    <w:p w14:paraId="670758F1" w14:textId="5A79DB3E" w:rsidR="00CF5755" w:rsidRPr="008249F8" w:rsidRDefault="00FF349D" w:rsidP="001263FA">
      <w:pPr>
        <w:pStyle w:val="01"/>
        <w:ind w:left="420"/>
        <w:rPr>
          <w:b/>
        </w:rPr>
      </w:pPr>
      <w:r>
        <w:rPr>
          <w:rFonts w:hint="eastAsia"/>
        </w:rPr>
        <w:t>2022年城市整体库存较2014年的前期高点下降了16%，但是</w:t>
      </w:r>
      <w:r w:rsidRPr="007B41A5">
        <w:rPr>
          <w:rFonts w:hint="eastAsia"/>
        </w:rPr>
        <w:t>仍有</w:t>
      </w:r>
      <w:r w:rsidRPr="00FF349D">
        <w:rPr>
          <w:rFonts w:hint="eastAsia"/>
          <w:b/>
        </w:rPr>
        <w:t>20个城市狭义库存高于2014年的整体高点</w:t>
      </w:r>
      <w:r w:rsidR="008249F8">
        <w:rPr>
          <w:rFonts w:hint="eastAsia"/>
        </w:rPr>
        <w:t>。</w:t>
      </w:r>
      <w:r w:rsidR="00CF5755" w:rsidRPr="008249F8">
        <w:rPr>
          <w:rFonts w:hint="eastAsia"/>
          <w:b/>
        </w:rPr>
        <w:t>就个性特征而言，这些</w:t>
      </w:r>
      <w:r w:rsidR="00C26A40">
        <w:rPr>
          <w:rFonts w:hint="eastAsia"/>
          <w:b/>
        </w:rPr>
        <w:t>狭义库存高于2014年的</w:t>
      </w:r>
      <w:r w:rsidR="00CF5755" w:rsidRPr="008249F8">
        <w:rPr>
          <w:rFonts w:hint="eastAsia"/>
          <w:b/>
        </w:rPr>
        <w:t>城市</w:t>
      </w:r>
      <w:r w:rsidR="006B72D2" w:rsidRPr="008249F8">
        <w:rPr>
          <w:rFonts w:hint="eastAsia"/>
          <w:b/>
        </w:rPr>
        <w:t>主要可</w:t>
      </w:r>
      <w:r w:rsidR="001263FA" w:rsidRPr="008249F8">
        <w:rPr>
          <w:rFonts w:hint="eastAsia"/>
          <w:b/>
        </w:rPr>
        <w:t>分为三</w:t>
      </w:r>
      <w:r w:rsidR="006B72D2" w:rsidRPr="008249F8">
        <w:rPr>
          <w:rFonts w:hint="eastAsia"/>
          <w:b/>
        </w:rPr>
        <w:t>类</w:t>
      </w:r>
      <w:r w:rsidR="001263FA" w:rsidRPr="008249F8">
        <w:rPr>
          <w:rFonts w:hint="eastAsia"/>
          <w:b/>
        </w:rPr>
        <w:t>：</w:t>
      </w:r>
    </w:p>
    <w:p w14:paraId="71828A3B" w14:textId="2E11291B" w:rsidR="001263FA" w:rsidRDefault="001263FA" w:rsidP="00CF5755">
      <w:pPr>
        <w:pStyle w:val="01"/>
        <w:ind w:left="420" w:firstLine="422"/>
      </w:pPr>
      <w:r>
        <w:rPr>
          <w:rFonts w:hint="eastAsia"/>
          <w:b/>
        </w:rPr>
        <w:t>第</w:t>
      </w:r>
      <w:r w:rsidR="006B72D2" w:rsidRPr="006B72D2">
        <w:rPr>
          <w:rFonts w:hint="eastAsia"/>
          <w:b/>
        </w:rPr>
        <w:t>一类是规模领先城市</w:t>
      </w:r>
      <w:r w:rsidR="006B72D2">
        <w:rPr>
          <w:rFonts w:hint="eastAsia"/>
        </w:rPr>
        <w:t>，年住宅成交面积均在千万</w:t>
      </w:r>
      <w:r w:rsidR="00E276ED">
        <w:rPr>
          <w:rFonts w:hint="eastAsia"/>
        </w:rPr>
        <w:t>㎡</w:t>
      </w:r>
      <w:r w:rsidR="006B72D2">
        <w:rPr>
          <w:rFonts w:hint="eastAsia"/>
        </w:rPr>
        <w:t>级别</w:t>
      </w:r>
      <w:r w:rsidR="00CF5755">
        <w:rPr>
          <w:rFonts w:hint="eastAsia"/>
        </w:rPr>
        <w:t>或更</w:t>
      </w:r>
      <w:r w:rsidR="008249F8">
        <w:rPr>
          <w:rFonts w:hint="eastAsia"/>
        </w:rPr>
        <w:t>高</w:t>
      </w:r>
      <w:r w:rsidR="006B72D2">
        <w:rPr>
          <w:rFonts w:hint="eastAsia"/>
        </w:rPr>
        <w:t>，如</w:t>
      </w:r>
      <w:r w:rsidR="006B72D2" w:rsidRPr="006B72D2">
        <w:rPr>
          <w:rFonts w:hint="eastAsia"/>
        </w:rPr>
        <w:t>郑州、武汉、南宁等</w:t>
      </w:r>
      <w:r w:rsidR="006B72D2">
        <w:rPr>
          <w:rFonts w:hint="eastAsia"/>
        </w:rPr>
        <w:t>，城市的高流量吸引了大量项目进驻竞争，2017年以来库存规模</w:t>
      </w:r>
      <w:r>
        <w:rPr>
          <w:rFonts w:hint="eastAsia"/>
        </w:rPr>
        <w:t>均出现了</w:t>
      </w:r>
      <w:r w:rsidR="006B72D2">
        <w:rPr>
          <w:rFonts w:hint="eastAsia"/>
        </w:rPr>
        <w:t>快速上涨</w:t>
      </w:r>
      <w:r w:rsidR="00CF5755">
        <w:rPr>
          <w:rFonts w:hint="eastAsia"/>
        </w:rPr>
        <w:t>，典型如武汉狭义库存规模较2017年末上升了5倍达到2000万</w:t>
      </w:r>
      <w:r w:rsidR="00E276ED">
        <w:rPr>
          <w:rFonts w:hint="eastAsia"/>
        </w:rPr>
        <w:t>㎡</w:t>
      </w:r>
      <w:r w:rsidR="00CF5755">
        <w:rPr>
          <w:rFonts w:hint="eastAsia"/>
        </w:rPr>
        <w:t>，相比此前武汉市一年2000万</w:t>
      </w:r>
      <w:r w:rsidR="00E276ED">
        <w:rPr>
          <w:rFonts w:hint="eastAsia"/>
        </w:rPr>
        <w:t>㎡</w:t>
      </w:r>
      <w:r w:rsidR="00CF5755">
        <w:rPr>
          <w:rFonts w:hint="eastAsia"/>
        </w:rPr>
        <w:t>左右的交易量而言规模尚可，不过在交易量仅余1000万</w:t>
      </w:r>
      <w:r w:rsidR="00E276ED">
        <w:rPr>
          <w:rFonts w:hint="eastAsia"/>
        </w:rPr>
        <w:t>㎡</w:t>
      </w:r>
      <w:r w:rsidR="00CF5755">
        <w:rPr>
          <w:rFonts w:hint="eastAsia"/>
        </w:rPr>
        <w:t>左右的2022年，其</w:t>
      </w:r>
      <w:r w:rsidR="00CF5755" w:rsidRPr="00855819">
        <w:rPr>
          <w:rFonts w:hint="eastAsia"/>
          <w:b/>
        </w:rPr>
        <w:t>狭义库存去化压力显著提升</w:t>
      </w:r>
      <w:r w:rsidR="00855819">
        <w:rPr>
          <w:rFonts w:hint="eastAsia"/>
        </w:rPr>
        <w:t>。</w:t>
      </w:r>
    </w:p>
    <w:p w14:paraId="75A774F0" w14:textId="478B310C" w:rsidR="001263FA" w:rsidRDefault="001263FA" w:rsidP="001263FA">
      <w:pPr>
        <w:pStyle w:val="01"/>
        <w:ind w:left="420" w:firstLine="422"/>
      </w:pPr>
      <w:r>
        <w:rPr>
          <w:rFonts w:hint="eastAsia"/>
          <w:b/>
        </w:rPr>
        <w:t>第二类</w:t>
      </w:r>
      <w:r w:rsidRPr="001263FA">
        <w:rPr>
          <w:rFonts w:hint="eastAsia"/>
          <w:b/>
        </w:rPr>
        <w:t>是</w:t>
      </w:r>
      <w:r>
        <w:rPr>
          <w:rFonts w:hint="eastAsia"/>
          <w:b/>
        </w:rPr>
        <w:t>规模扩容型城市，</w:t>
      </w:r>
      <w:r w:rsidRPr="001263FA">
        <w:rPr>
          <w:rFonts w:hint="eastAsia"/>
        </w:rPr>
        <w:t>如兰州、芜湖等，</w:t>
      </w:r>
      <w:r w:rsidR="00CF5755">
        <w:rPr>
          <w:rFonts w:hint="eastAsia"/>
        </w:rPr>
        <w:t>近年来</w:t>
      </w:r>
      <w:r w:rsidRPr="001263FA">
        <w:rPr>
          <w:rFonts w:hint="eastAsia"/>
        </w:rPr>
        <w:t>城市</w:t>
      </w:r>
      <w:r>
        <w:rPr>
          <w:rFonts w:hint="eastAsia"/>
        </w:rPr>
        <w:t>成交规模的提升推高了库存规模，</w:t>
      </w:r>
      <w:r w:rsidR="00CF5755">
        <w:rPr>
          <w:rFonts w:hint="eastAsia"/>
        </w:rPr>
        <w:t xml:space="preserve"> 以芜湖为例，在2014-2015年间城市成交规模仅在100万</w:t>
      </w:r>
      <w:r w:rsidR="00E276ED">
        <w:rPr>
          <w:rFonts w:hint="eastAsia"/>
        </w:rPr>
        <w:t>㎡</w:t>
      </w:r>
      <w:r w:rsidR="00CF5755">
        <w:rPr>
          <w:rFonts w:hint="eastAsia"/>
        </w:rPr>
        <w:t>级别，而在2016-2020年期间成交规模骤升至300万</w:t>
      </w:r>
      <w:r w:rsidR="00E276ED">
        <w:rPr>
          <w:rFonts w:hint="eastAsia"/>
        </w:rPr>
        <w:t>㎡</w:t>
      </w:r>
      <w:r w:rsidR="00CF5755">
        <w:rPr>
          <w:rFonts w:hint="eastAsia"/>
        </w:rPr>
        <w:t>左右，与规模的扩容同步，这些城市狭义库存规模也同步增加，芜湖2022</w:t>
      </w:r>
      <w:r w:rsidR="00CF5755">
        <w:rPr>
          <w:rFonts w:hint="eastAsia"/>
        </w:rPr>
        <w:lastRenderedPageBreak/>
        <w:t>年狭义库存较2017年增加了157%。</w:t>
      </w:r>
      <w:r w:rsidR="00855819">
        <w:rPr>
          <w:rFonts w:hint="eastAsia"/>
        </w:rPr>
        <w:t>但是在交易规模大幅回落的2022年，这些城市狭义库存规模却难以快速调整，与第一类城市类似，处于高位的狭义库存仍需要长时间的消化。</w:t>
      </w:r>
    </w:p>
    <w:p w14:paraId="3134FBDF" w14:textId="292BA435" w:rsidR="006B72D2" w:rsidRPr="00CF5755" w:rsidRDefault="00CF5755" w:rsidP="00CF5755">
      <w:pPr>
        <w:pStyle w:val="01"/>
        <w:ind w:left="420" w:firstLine="422"/>
        <w:rPr>
          <w:b/>
        </w:rPr>
      </w:pPr>
      <w:r>
        <w:rPr>
          <w:rFonts w:hint="eastAsia"/>
          <w:b/>
        </w:rPr>
        <w:t>第三类</w:t>
      </w:r>
      <w:r w:rsidR="008249F8">
        <w:rPr>
          <w:rFonts w:hint="eastAsia"/>
          <w:b/>
        </w:rPr>
        <w:t>则是</w:t>
      </w:r>
      <w:r w:rsidR="001263FA" w:rsidRPr="00CF5755">
        <w:rPr>
          <w:rFonts w:hint="eastAsia"/>
          <w:b/>
        </w:rPr>
        <w:t>基数</w:t>
      </w:r>
      <w:r w:rsidR="008249F8">
        <w:rPr>
          <w:rFonts w:hint="eastAsia"/>
          <w:b/>
        </w:rPr>
        <w:t>库存指标较佳，处于相对低位</w:t>
      </w:r>
      <w:r w:rsidR="001263FA" w:rsidRPr="00CF5755">
        <w:rPr>
          <w:rFonts w:hint="eastAsia"/>
          <w:b/>
        </w:rPr>
        <w:t>，如</w:t>
      </w:r>
      <w:r w:rsidR="008249F8">
        <w:rPr>
          <w:rFonts w:hint="eastAsia"/>
          <w:b/>
        </w:rPr>
        <w:t>广州、深圳、</w:t>
      </w:r>
      <w:r w:rsidR="001263FA" w:rsidRPr="00CF5755">
        <w:rPr>
          <w:rFonts w:hint="eastAsia"/>
          <w:b/>
        </w:rPr>
        <w:t>南京、宁波等，</w:t>
      </w:r>
      <w:r w:rsidR="008249F8" w:rsidRPr="008249F8">
        <w:rPr>
          <w:rFonts w:hint="eastAsia"/>
        </w:rPr>
        <w:t>以南京为例，</w:t>
      </w:r>
      <w:r w:rsidR="008249F8">
        <w:rPr>
          <w:rFonts w:hint="eastAsia"/>
        </w:rPr>
        <w:t>该城市狭义库存指标一直以来均控制得较为理想，即便是在2014年的市场库存高位，南京狭义库存指标也被控制在了900万</w:t>
      </w:r>
      <w:r w:rsidR="00E276ED">
        <w:rPr>
          <w:rFonts w:hint="eastAsia"/>
        </w:rPr>
        <w:t>㎡</w:t>
      </w:r>
      <w:r w:rsidR="008249F8">
        <w:rPr>
          <w:rFonts w:hint="eastAsia"/>
        </w:rPr>
        <w:t>以内，2022年末虽上升至990万</w:t>
      </w:r>
      <w:r w:rsidR="00E276ED">
        <w:rPr>
          <w:rFonts w:hint="eastAsia"/>
        </w:rPr>
        <w:t>㎡</w:t>
      </w:r>
      <w:r w:rsidR="008249F8">
        <w:rPr>
          <w:rFonts w:hint="eastAsia"/>
        </w:rPr>
        <w:t>，但对比其800万</w:t>
      </w:r>
      <w:r w:rsidR="00E276ED">
        <w:rPr>
          <w:rFonts w:hint="eastAsia"/>
        </w:rPr>
        <w:t>㎡</w:t>
      </w:r>
      <w:r w:rsidR="008249F8">
        <w:rPr>
          <w:rFonts w:hint="eastAsia"/>
        </w:rPr>
        <w:t>左右的成交规模来看，南京</w:t>
      </w:r>
      <w:r w:rsidR="00855819">
        <w:rPr>
          <w:rFonts w:hint="eastAsia"/>
        </w:rPr>
        <w:t>狭义</w:t>
      </w:r>
      <w:r w:rsidR="008249F8">
        <w:rPr>
          <w:rFonts w:hint="eastAsia"/>
        </w:rPr>
        <w:t>库存仍处于相对合理的范围。</w:t>
      </w:r>
    </w:p>
    <w:p w14:paraId="5808B7E4" w14:textId="3220A2B7" w:rsidR="002D7619" w:rsidRPr="00137F99" w:rsidRDefault="002D7619" w:rsidP="002D7619">
      <w:pPr>
        <w:jc w:val="center"/>
        <w:rPr>
          <w:b/>
          <w:sz w:val="20"/>
          <w:szCs w:val="21"/>
        </w:rPr>
      </w:pPr>
      <w:r>
        <w:rPr>
          <w:rFonts w:hint="eastAsia"/>
          <w:b/>
          <w:sz w:val="20"/>
          <w:szCs w:val="21"/>
        </w:rPr>
        <w:t>图</w:t>
      </w:r>
      <w:r w:rsidRPr="00137F99">
        <w:rPr>
          <w:rFonts w:hint="eastAsia"/>
          <w:b/>
          <w:sz w:val="20"/>
          <w:szCs w:val="21"/>
        </w:rPr>
        <w:t>：</w:t>
      </w:r>
      <w:r>
        <w:rPr>
          <w:rFonts w:hint="eastAsia"/>
          <w:b/>
          <w:sz w:val="20"/>
          <w:szCs w:val="21"/>
        </w:rPr>
        <w:t>2022</w:t>
      </w:r>
      <w:r>
        <w:rPr>
          <w:rFonts w:hint="eastAsia"/>
          <w:b/>
          <w:sz w:val="20"/>
          <w:szCs w:val="21"/>
        </w:rPr>
        <w:t>年</w:t>
      </w:r>
      <w:r w:rsidR="00C26A40">
        <w:rPr>
          <w:rFonts w:hint="eastAsia"/>
          <w:b/>
          <w:sz w:val="20"/>
          <w:szCs w:val="21"/>
        </w:rPr>
        <w:t>末</w:t>
      </w:r>
      <w:r w:rsidR="00C51FBD">
        <w:rPr>
          <w:rFonts w:hint="eastAsia"/>
          <w:b/>
          <w:sz w:val="20"/>
          <w:szCs w:val="21"/>
        </w:rPr>
        <w:t>50</w:t>
      </w:r>
      <w:r w:rsidR="00C26A40">
        <w:rPr>
          <w:rFonts w:hint="eastAsia"/>
          <w:b/>
          <w:sz w:val="20"/>
          <w:szCs w:val="21"/>
        </w:rPr>
        <w:t>个</w:t>
      </w:r>
      <w:r>
        <w:rPr>
          <w:rFonts w:hint="eastAsia"/>
          <w:b/>
          <w:sz w:val="20"/>
          <w:szCs w:val="21"/>
        </w:rPr>
        <w:t>典型城市</w:t>
      </w:r>
      <w:r w:rsidR="00C51FBD">
        <w:rPr>
          <w:rFonts w:hint="eastAsia"/>
          <w:b/>
          <w:sz w:val="20"/>
          <w:szCs w:val="21"/>
        </w:rPr>
        <w:t>狭义库存规模</w:t>
      </w:r>
      <w:r>
        <w:rPr>
          <w:rFonts w:hint="eastAsia"/>
          <w:b/>
          <w:sz w:val="20"/>
          <w:szCs w:val="21"/>
        </w:rPr>
        <w:t>（万</w:t>
      </w:r>
      <w:r w:rsidR="00F13738">
        <w:rPr>
          <w:rFonts w:hint="eastAsia"/>
          <w:b/>
          <w:sz w:val="20"/>
          <w:szCs w:val="21"/>
        </w:rPr>
        <w:t>㎡</w:t>
      </w:r>
      <w:r>
        <w:rPr>
          <w:rFonts w:hint="eastAsia"/>
          <w:b/>
          <w:sz w:val="20"/>
          <w:szCs w:val="21"/>
        </w:rPr>
        <w:t>）</w:t>
      </w:r>
      <w:r w:rsidR="005D371E">
        <w:rPr>
          <w:rFonts w:hint="eastAsia"/>
          <w:b/>
          <w:sz w:val="20"/>
          <w:szCs w:val="21"/>
        </w:rPr>
        <w:t>（略）</w:t>
      </w:r>
    </w:p>
    <w:p w14:paraId="0DAB8A73" w14:textId="77777777" w:rsidR="002D7619" w:rsidRDefault="002D7619" w:rsidP="002D7619">
      <w:pPr>
        <w:pStyle w:val="13"/>
        <w:spacing w:line="240" w:lineRule="auto"/>
        <w:ind w:firstLineChars="200" w:firstLine="360"/>
        <w:jc w:val="right"/>
        <w:rPr>
          <w:rFonts w:ascii="宋体" w:eastAsia="宋体" w:hAnsi="宋体"/>
          <w:sz w:val="18"/>
          <w:szCs w:val="24"/>
        </w:rPr>
      </w:pPr>
      <w:r w:rsidRPr="0033172E">
        <w:rPr>
          <w:rFonts w:ascii="宋体" w:eastAsia="宋体" w:hAnsi="宋体" w:hint="eastAsia"/>
          <w:sz w:val="18"/>
          <w:szCs w:val="24"/>
        </w:rPr>
        <w:t>数据来源：</w:t>
      </w:r>
      <w:r>
        <w:rPr>
          <w:rFonts w:ascii="宋体" w:eastAsia="宋体" w:hAnsi="宋体" w:hint="eastAsia"/>
          <w:sz w:val="18"/>
          <w:szCs w:val="24"/>
        </w:rPr>
        <w:t>CRIC</w:t>
      </w:r>
    </w:p>
    <w:p w14:paraId="3E8E0F53" w14:textId="2B588713" w:rsidR="00447593" w:rsidRPr="00CA1104" w:rsidRDefault="00447593" w:rsidP="00B44D37">
      <w:pPr>
        <w:pStyle w:val="00"/>
      </w:pPr>
      <w:bookmarkStart w:id="17" w:name="_Toc128583521"/>
      <w:r>
        <w:rPr>
          <w:rFonts w:hint="eastAsia"/>
        </w:rPr>
        <w:t>3，</w:t>
      </w:r>
      <w:r w:rsidR="00E72C39">
        <w:rPr>
          <w:rFonts w:hint="eastAsia"/>
        </w:rPr>
        <w:t>广义库存</w:t>
      </w:r>
      <w:r w:rsidR="00697217">
        <w:rPr>
          <w:rFonts w:hint="eastAsia"/>
        </w:rPr>
        <w:t>2022年</w:t>
      </w:r>
      <w:r w:rsidR="00E72C39">
        <w:rPr>
          <w:rFonts w:hint="eastAsia"/>
        </w:rPr>
        <w:t>同比增幅达6%，仅二线城市与</w:t>
      </w:r>
      <w:r w:rsidR="00697217">
        <w:rPr>
          <w:rFonts w:hint="eastAsia"/>
        </w:rPr>
        <w:t>2019年末</w:t>
      </w:r>
      <w:r w:rsidR="00E72C39">
        <w:rPr>
          <w:rFonts w:hint="eastAsia"/>
        </w:rPr>
        <w:t>规模相近</w:t>
      </w:r>
      <w:bookmarkEnd w:id="17"/>
      <w:r w:rsidR="005D371E">
        <w:rPr>
          <w:rFonts w:hint="eastAsia"/>
        </w:rPr>
        <w:t>（略）</w:t>
      </w:r>
    </w:p>
    <w:p w14:paraId="3C52B923" w14:textId="7814FB97" w:rsidR="00E72C39" w:rsidRPr="00E4095E" w:rsidRDefault="0059633E" w:rsidP="0059633E">
      <w:pPr>
        <w:pStyle w:val="01"/>
        <w:ind w:left="420" w:firstLineChars="0" w:firstLine="0"/>
        <w:outlineLvl w:val="2"/>
        <w:rPr>
          <w:b/>
        </w:rPr>
      </w:pPr>
      <w:bookmarkStart w:id="18" w:name="_Toc127966702"/>
      <w:bookmarkStart w:id="19" w:name="_Toc128583522"/>
      <w:r>
        <w:rPr>
          <w:rFonts w:cs="方正兰亭中黑简体" w:hint="eastAsia"/>
          <w:b/>
          <w:bCs/>
          <w:szCs w:val="21"/>
        </w:rPr>
        <w:t>1）、</w:t>
      </w:r>
      <w:r w:rsidR="00E4095E">
        <w:rPr>
          <w:rFonts w:hint="eastAsia"/>
          <w:b/>
        </w:rPr>
        <w:t>一线2022年同比涨幅居首，三四线涨幅其次反而库存压力最高</w:t>
      </w:r>
      <w:bookmarkEnd w:id="18"/>
      <w:bookmarkEnd w:id="19"/>
    </w:p>
    <w:p w14:paraId="71978DCA" w14:textId="39BA52C1" w:rsidR="00447593" w:rsidRPr="005D371E" w:rsidRDefault="00447593">
      <w:pPr>
        <w:widowControl/>
        <w:jc w:val="left"/>
        <w:rPr>
          <w:b/>
          <w:sz w:val="20"/>
          <w:szCs w:val="21"/>
        </w:rPr>
      </w:pPr>
    </w:p>
    <w:p w14:paraId="138CCFCA" w14:textId="46B2F995" w:rsidR="00447593" w:rsidRPr="00137F99" w:rsidRDefault="00447593" w:rsidP="00447593">
      <w:pPr>
        <w:jc w:val="center"/>
        <w:rPr>
          <w:b/>
          <w:sz w:val="20"/>
          <w:szCs w:val="21"/>
        </w:rPr>
      </w:pPr>
      <w:r>
        <w:rPr>
          <w:rFonts w:hint="eastAsia"/>
          <w:b/>
          <w:sz w:val="20"/>
          <w:szCs w:val="21"/>
        </w:rPr>
        <w:t>图</w:t>
      </w:r>
      <w:r w:rsidRPr="00137F99">
        <w:rPr>
          <w:rFonts w:hint="eastAsia"/>
          <w:b/>
          <w:sz w:val="20"/>
          <w:szCs w:val="21"/>
        </w:rPr>
        <w:t>：</w:t>
      </w:r>
      <w:r>
        <w:rPr>
          <w:rFonts w:hint="eastAsia"/>
          <w:b/>
          <w:sz w:val="20"/>
          <w:szCs w:val="21"/>
        </w:rPr>
        <w:t>各能级城市</w:t>
      </w:r>
      <w:r w:rsidR="003271E5">
        <w:rPr>
          <w:rFonts w:hint="eastAsia"/>
          <w:b/>
          <w:sz w:val="20"/>
          <w:szCs w:val="21"/>
        </w:rPr>
        <w:t>住宅</w:t>
      </w:r>
      <w:r w:rsidRPr="00447593">
        <w:rPr>
          <w:rFonts w:hint="eastAsia"/>
          <w:b/>
          <w:sz w:val="20"/>
          <w:szCs w:val="21"/>
        </w:rPr>
        <w:t>广义库存定基指数季度变</w:t>
      </w:r>
      <w:r>
        <w:rPr>
          <w:rFonts w:hint="eastAsia"/>
          <w:b/>
          <w:sz w:val="20"/>
          <w:szCs w:val="21"/>
        </w:rPr>
        <w:t>化（</w:t>
      </w:r>
      <w:r>
        <w:rPr>
          <w:rFonts w:hint="eastAsia"/>
          <w:b/>
          <w:sz w:val="20"/>
          <w:szCs w:val="21"/>
        </w:rPr>
        <w:t>2019</w:t>
      </w:r>
      <w:r>
        <w:rPr>
          <w:rFonts w:hint="eastAsia"/>
          <w:b/>
          <w:sz w:val="20"/>
          <w:szCs w:val="21"/>
        </w:rPr>
        <w:t>年四季度末</w:t>
      </w:r>
      <w:r>
        <w:rPr>
          <w:rFonts w:hint="eastAsia"/>
          <w:b/>
          <w:sz w:val="20"/>
          <w:szCs w:val="21"/>
        </w:rPr>
        <w:t>=100</w:t>
      </w:r>
      <w:r>
        <w:rPr>
          <w:rFonts w:hint="eastAsia"/>
          <w:b/>
          <w:sz w:val="20"/>
          <w:szCs w:val="21"/>
        </w:rPr>
        <w:t>）</w:t>
      </w:r>
      <w:r w:rsidR="005D371E">
        <w:rPr>
          <w:rFonts w:hint="eastAsia"/>
          <w:b/>
          <w:sz w:val="20"/>
          <w:szCs w:val="21"/>
        </w:rPr>
        <w:t>（略）</w:t>
      </w:r>
    </w:p>
    <w:p w14:paraId="39347A8F" w14:textId="5B5AABDF" w:rsidR="00447593" w:rsidRDefault="0059633E" w:rsidP="0059633E">
      <w:pPr>
        <w:pStyle w:val="01"/>
        <w:ind w:left="420" w:firstLineChars="0" w:firstLine="0"/>
        <w:outlineLvl w:val="2"/>
        <w:rPr>
          <w:b/>
        </w:rPr>
      </w:pPr>
      <w:bookmarkStart w:id="20" w:name="_Toc127966703"/>
      <w:bookmarkStart w:id="21" w:name="_Toc128583523"/>
      <w:r>
        <w:rPr>
          <w:rFonts w:cs="方正兰亭中黑简体" w:hint="eastAsia"/>
          <w:b/>
          <w:bCs/>
          <w:szCs w:val="21"/>
        </w:rPr>
        <w:t>2）、</w:t>
      </w:r>
      <w:r w:rsidR="00DC3A39">
        <w:rPr>
          <w:rFonts w:hint="eastAsia"/>
          <w:b/>
        </w:rPr>
        <w:t>八成城市广义库存同比上升，青岛同比增幅高达36%</w:t>
      </w:r>
      <w:bookmarkEnd w:id="20"/>
      <w:bookmarkEnd w:id="21"/>
      <w:r w:rsidR="005D371E">
        <w:rPr>
          <w:rFonts w:hint="eastAsia"/>
          <w:b/>
        </w:rPr>
        <w:t>（略）</w:t>
      </w:r>
    </w:p>
    <w:p w14:paraId="4F970414" w14:textId="7BDD9F29" w:rsidR="006F726B" w:rsidRPr="000F78E0" w:rsidRDefault="006F726B" w:rsidP="006E656B">
      <w:pPr>
        <w:spacing w:beforeLines="100" w:before="312" w:afterLines="50" w:after="156"/>
        <w:jc w:val="center"/>
        <w:outlineLvl w:val="0"/>
        <w:rPr>
          <w:rFonts w:ascii="黑体" w:eastAsia="黑体" w:hAnsi="黑体"/>
          <w:b/>
          <w:bCs/>
          <w:sz w:val="32"/>
          <w:szCs w:val="32"/>
        </w:rPr>
      </w:pPr>
      <w:bookmarkStart w:id="22" w:name="_Toc128583524"/>
      <w:r w:rsidRPr="000F78E0">
        <w:rPr>
          <w:rFonts w:ascii="黑体" w:eastAsia="黑体" w:hAnsi="黑体" w:hint="eastAsia"/>
          <w:b/>
          <w:bCs/>
          <w:sz w:val="32"/>
          <w:szCs w:val="32"/>
        </w:rPr>
        <w:t>二、</w:t>
      </w:r>
      <w:r w:rsidR="006E656B">
        <w:rPr>
          <w:rFonts w:ascii="黑体" w:eastAsia="黑体" w:hAnsi="黑体" w:hint="eastAsia"/>
          <w:b/>
          <w:bCs/>
          <w:sz w:val="32"/>
          <w:szCs w:val="32"/>
        </w:rPr>
        <w:t>狭义</w:t>
      </w:r>
      <w:r w:rsidR="007C0007">
        <w:rPr>
          <w:rFonts w:ascii="黑体" w:eastAsia="黑体" w:hAnsi="黑体" w:hint="eastAsia"/>
          <w:b/>
          <w:bCs/>
          <w:sz w:val="32"/>
          <w:szCs w:val="32"/>
        </w:rPr>
        <w:t>消化周期超过2014年高点，</w:t>
      </w:r>
      <w:r w:rsidR="007C0007">
        <w:rPr>
          <w:rFonts w:ascii="黑体" w:eastAsia="黑体" w:hAnsi="黑体"/>
          <w:b/>
          <w:bCs/>
          <w:sz w:val="32"/>
          <w:szCs w:val="32"/>
        </w:rPr>
        <w:br/>
      </w:r>
      <w:r w:rsidR="006E656B">
        <w:rPr>
          <w:rFonts w:ascii="黑体" w:eastAsia="黑体" w:hAnsi="黑体" w:hint="eastAsia"/>
          <w:b/>
          <w:bCs/>
          <w:sz w:val="32"/>
          <w:szCs w:val="32"/>
        </w:rPr>
        <w:t>广义消化周期</w:t>
      </w:r>
      <w:r w:rsidR="007C0007">
        <w:rPr>
          <w:rFonts w:ascii="黑体" w:eastAsia="黑体" w:hAnsi="黑体" w:hint="eastAsia"/>
          <w:b/>
          <w:bCs/>
          <w:sz w:val="32"/>
          <w:szCs w:val="32"/>
        </w:rPr>
        <w:t>突破</w:t>
      </w:r>
      <w:r w:rsidR="00260EBC">
        <w:rPr>
          <w:rFonts w:ascii="黑体" w:eastAsia="黑体" w:hAnsi="黑体" w:hint="eastAsia"/>
          <w:b/>
          <w:bCs/>
          <w:sz w:val="32"/>
          <w:szCs w:val="32"/>
        </w:rPr>
        <w:t>3年</w:t>
      </w:r>
      <w:bookmarkEnd w:id="22"/>
    </w:p>
    <w:p w14:paraId="057848F5" w14:textId="179BDBA7" w:rsidR="0052304D" w:rsidRPr="00EA23B9" w:rsidRDefault="0052304D" w:rsidP="0052304D">
      <w:pPr>
        <w:pStyle w:val="01"/>
      </w:pPr>
      <w:r>
        <w:rPr>
          <w:rFonts w:hint="eastAsia"/>
        </w:rPr>
        <w:t>典型城市狭义库存与广义库存虽然一减一增，但是在快速回落的销售面积影响下，狭义和广义消化周期都出现了</w:t>
      </w:r>
      <w:r w:rsidR="001E1ACE">
        <w:rPr>
          <w:rFonts w:hint="eastAsia"/>
        </w:rPr>
        <w:t>迅速提升，</w:t>
      </w:r>
      <w:r w:rsidR="007C0007">
        <w:rPr>
          <w:rFonts w:hint="eastAsia"/>
        </w:rPr>
        <w:t>其中狭义库存消化周期更是超过了2014年的前期高点。就2022年指标动向来看，</w:t>
      </w:r>
      <w:r w:rsidR="001E1ACE">
        <w:rPr>
          <w:rFonts w:hint="eastAsia"/>
        </w:rPr>
        <w:t>相比供应端受到销许领取节奏变化影响、库存规模在一定程度上受到控制狭义消化周期而言，广义库存的消化周期增幅更为显著。</w:t>
      </w:r>
    </w:p>
    <w:p w14:paraId="6F8465AE" w14:textId="519CD7BB" w:rsidR="006F726B" w:rsidRDefault="006F726B" w:rsidP="00B44D37">
      <w:pPr>
        <w:pStyle w:val="00"/>
      </w:pPr>
      <w:bookmarkStart w:id="23" w:name="_Toc128583525"/>
      <w:r w:rsidRPr="00F8329A">
        <w:rPr>
          <w:rFonts w:hint="eastAsia"/>
        </w:rPr>
        <w:t>1，</w:t>
      </w:r>
      <w:r w:rsidR="007413EA">
        <w:rPr>
          <w:rFonts w:hint="eastAsia"/>
        </w:rPr>
        <w:t>平均</w:t>
      </w:r>
      <w:r w:rsidR="00AC2A99">
        <w:rPr>
          <w:rFonts w:hint="eastAsia"/>
        </w:rPr>
        <w:t>消化周期</w:t>
      </w:r>
      <w:r w:rsidR="007C0007">
        <w:rPr>
          <w:rFonts w:hint="eastAsia"/>
        </w:rPr>
        <w:t>超过20个月</w:t>
      </w:r>
      <w:r w:rsidR="00EA23B9">
        <w:rPr>
          <w:rFonts w:hint="eastAsia"/>
        </w:rPr>
        <w:t>，一二线中仅四市低于10个月</w:t>
      </w:r>
      <w:bookmarkEnd w:id="23"/>
    </w:p>
    <w:p w14:paraId="16B976D3" w14:textId="5F7599A6" w:rsidR="009A461F" w:rsidRPr="00EA23B9" w:rsidRDefault="009E2DE7" w:rsidP="009E2DE7">
      <w:pPr>
        <w:pStyle w:val="01"/>
      </w:pPr>
      <w:r>
        <w:rPr>
          <w:rFonts w:hint="eastAsia"/>
        </w:rPr>
        <w:t>与受到供给侧控制的狭义库存指标不同，2022年去化周期指标出现了更大幅度的波动，各能级城市消化周期普涨，年内同比增幅超过六成。超过四成城市的消化周期超过两年，仅极少数城市消化周期能保持在10个月以内。</w:t>
      </w:r>
    </w:p>
    <w:p w14:paraId="70C444A7" w14:textId="4F320B99" w:rsidR="00AC2A99" w:rsidRPr="007C32A5" w:rsidRDefault="0059633E" w:rsidP="0059633E">
      <w:pPr>
        <w:pStyle w:val="01"/>
        <w:ind w:left="420" w:firstLineChars="0" w:firstLine="0"/>
        <w:outlineLvl w:val="2"/>
        <w:rPr>
          <w:b/>
        </w:rPr>
      </w:pPr>
      <w:bookmarkStart w:id="24" w:name="_Toc127966706"/>
      <w:bookmarkStart w:id="25" w:name="_Toc128583526"/>
      <w:r>
        <w:rPr>
          <w:rFonts w:cs="方正兰亭中黑简体" w:hint="eastAsia"/>
          <w:b/>
          <w:bCs/>
          <w:szCs w:val="21"/>
        </w:rPr>
        <w:t>1）、</w:t>
      </w:r>
      <w:r w:rsidR="00AC2A99" w:rsidRPr="007C32A5">
        <w:rPr>
          <w:rFonts w:hint="eastAsia"/>
          <w:b/>
        </w:rPr>
        <w:t>2022年消化周期</w:t>
      </w:r>
      <w:r w:rsidR="00505920">
        <w:rPr>
          <w:rFonts w:hint="eastAsia"/>
          <w:b/>
        </w:rPr>
        <w:t>超过2014年高点</w:t>
      </w:r>
      <w:r w:rsidR="00AC2A99" w:rsidRPr="007C32A5">
        <w:rPr>
          <w:rFonts w:hint="eastAsia"/>
          <w:b/>
        </w:rPr>
        <w:t>，突破18个月警戒线</w:t>
      </w:r>
      <w:bookmarkEnd w:id="24"/>
      <w:bookmarkEnd w:id="25"/>
      <w:r w:rsidR="005D371E">
        <w:rPr>
          <w:rFonts w:hint="eastAsia"/>
          <w:b/>
        </w:rPr>
        <w:t>（略）</w:t>
      </w:r>
    </w:p>
    <w:p w14:paraId="4A6C1489" w14:textId="7A607079" w:rsidR="001F1CA2" w:rsidRPr="007C32A5" w:rsidRDefault="0059633E" w:rsidP="0059633E">
      <w:pPr>
        <w:pStyle w:val="01"/>
        <w:ind w:left="420" w:firstLineChars="0" w:firstLine="0"/>
        <w:outlineLvl w:val="2"/>
        <w:rPr>
          <w:b/>
        </w:rPr>
      </w:pPr>
      <w:bookmarkStart w:id="26" w:name="_Toc127966707"/>
      <w:bookmarkStart w:id="27" w:name="_Toc128583527"/>
      <w:r>
        <w:rPr>
          <w:rFonts w:cs="方正兰亭中黑简体" w:hint="eastAsia"/>
          <w:b/>
          <w:bCs/>
          <w:szCs w:val="21"/>
        </w:rPr>
        <w:t>2）、</w:t>
      </w:r>
      <w:r w:rsidR="00037510">
        <w:rPr>
          <w:rFonts w:hint="eastAsia"/>
          <w:b/>
        </w:rPr>
        <w:t>一线城市消化周期</w:t>
      </w:r>
      <w:r w:rsidR="00BD5AE1">
        <w:rPr>
          <w:rFonts w:hint="eastAsia"/>
          <w:b/>
        </w:rPr>
        <w:t>仍低于</w:t>
      </w:r>
      <w:r w:rsidR="00505920">
        <w:rPr>
          <w:rFonts w:hint="eastAsia"/>
          <w:b/>
        </w:rPr>
        <w:t>2014年</w:t>
      </w:r>
      <w:r w:rsidR="00BD5AE1">
        <w:rPr>
          <w:rFonts w:hint="eastAsia"/>
          <w:b/>
        </w:rPr>
        <w:t>高点</w:t>
      </w:r>
      <w:r w:rsidR="00037510">
        <w:rPr>
          <w:rFonts w:hint="eastAsia"/>
          <w:b/>
        </w:rPr>
        <w:t>，</w:t>
      </w:r>
      <w:r w:rsidR="000152F4">
        <w:rPr>
          <w:rFonts w:hint="eastAsia"/>
          <w:b/>
        </w:rPr>
        <w:t>三四线</w:t>
      </w:r>
      <w:r w:rsidR="00556090">
        <w:rPr>
          <w:rFonts w:hint="eastAsia"/>
          <w:b/>
        </w:rPr>
        <w:t>供求信心双双“塌方”</w:t>
      </w:r>
      <w:bookmarkEnd w:id="26"/>
      <w:r w:rsidR="00BD5AE1">
        <w:rPr>
          <w:rFonts w:hint="eastAsia"/>
          <w:b/>
        </w:rPr>
        <w:t>消化周期接近2年</w:t>
      </w:r>
      <w:bookmarkEnd w:id="27"/>
      <w:r w:rsidR="005D371E">
        <w:rPr>
          <w:rFonts w:hint="eastAsia"/>
          <w:b/>
        </w:rPr>
        <w:t>（略）</w:t>
      </w:r>
    </w:p>
    <w:p w14:paraId="7791C5A6" w14:textId="4DF3BBA1" w:rsidR="001F1CA2" w:rsidRDefault="00037510" w:rsidP="00A61FF4">
      <w:pPr>
        <w:pStyle w:val="01"/>
        <w:ind w:firstLine="422"/>
        <w:rPr>
          <w:b/>
        </w:rPr>
      </w:pPr>
      <w:r w:rsidRPr="00037510">
        <w:rPr>
          <w:rFonts w:hint="eastAsia"/>
          <w:b/>
        </w:rPr>
        <w:t>一线城市</w:t>
      </w:r>
      <w:r w:rsidR="00D81723">
        <w:rPr>
          <w:rFonts w:hint="eastAsia"/>
          <w:b/>
        </w:rPr>
        <w:t>狭义消化周期</w:t>
      </w:r>
      <w:r w:rsidRPr="00037510">
        <w:rPr>
          <w:rFonts w:hint="eastAsia"/>
          <w:b/>
        </w:rPr>
        <w:t>指标</w:t>
      </w:r>
      <w:r w:rsidR="00BD5AE1">
        <w:rPr>
          <w:rFonts w:hint="eastAsia"/>
          <w:b/>
        </w:rPr>
        <w:t>表现最佳</w:t>
      </w:r>
      <w:r w:rsidR="00D81723">
        <w:rPr>
          <w:rFonts w:hint="eastAsia"/>
        </w:rPr>
        <w:t>。</w:t>
      </w:r>
    </w:p>
    <w:p w14:paraId="176AFAE9" w14:textId="1A720188" w:rsidR="00A61FF4" w:rsidRDefault="009669AD" w:rsidP="00D81723">
      <w:pPr>
        <w:pStyle w:val="01"/>
        <w:ind w:firstLine="422"/>
      </w:pPr>
      <w:r>
        <w:rPr>
          <w:rFonts w:hint="eastAsia"/>
          <w:b/>
        </w:rPr>
        <w:t>二线城市“以销定供”助狭义库存平盘，</w:t>
      </w:r>
      <w:r w:rsidR="00D81723">
        <w:rPr>
          <w:rFonts w:hint="eastAsia"/>
          <w:b/>
        </w:rPr>
        <w:t>狭义消化</w:t>
      </w:r>
      <w:r>
        <w:rPr>
          <w:rFonts w:hint="eastAsia"/>
          <w:b/>
        </w:rPr>
        <w:t>周期</w:t>
      </w:r>
      <w:r w:rsidR="00A61FF4">
        <w:rPr>
          <w:rFonts w:hint="eastAsia"/>
          <w:b/>
        </w:rPr>
        <w:t>与2014年高点相近</w:t>
      </w:r>
      <w:r>
        <w:rPr>
          <w:rFonts w:hint="eastAsia"/>
          <w:b/>
        </w:rPr>
        <w:t>。</w:t>
      </w:r>
    </w:p>
    <w:p w14:paraId="07677A0E" w14:textId="22B1836B" w:rsidR="00EE4F5C" w:rsidRDefault="00861D23" w:rsidP="00037510">
      <w:pPr>
        <w:pStyle w:val="01"/>
        <w:ind w:firstLine="422"/>
      </w:pPr>
      <w:r>
        <w:rPr>
          <w:rFonts w:hint="eastAsia"/>
          <w:b/>
        </w:rPr>
        <w:t>三四线</w:t>
      </w:r>
      <w:r w:rsidR="009669AD">
        <w:rPr>
          <w:rFonts w:hint="eastAsia"/>
          <w:b/>
        </w:rPr>
        <w:t>供求规模“塌方式”下滑，消化周期</w:t>
      </w:r>
      <w:r w:rsidR="00505920">
        <w:rPr>
          <w:rFonts w:hint="eastAsia"/>
          <w:b/>
        </w:rPr>
        <w:t>领跑</w:t>
      </w:r>
      <w:r w:rsidR="009669AD">
        <w:rPr>
          <w:rFonts w:hint="eastAsia"/>
          <w:b/>
        </w:rPr>
        <w:t>各能级</w:t>
      </w:r>
      <w:r w:rsidR="00D81723">
        <w:rPr>
          <w:rFonts w:hint="eastAsia"/>
          <w:b/>
        </w:rPr>
        <w:t>城市</w:t>
      </w:r>
      <w:r w:rsidR="009669AD">
        <w:rPr>
          <w:rFonts w:hint="eastAsia"/>
          <w:b/>
        </w:rPr>
        <w:t>。</w:t>
      </w:r>
    </w:p>
    <w:p w14:paraId="4EB72C2A" w14:textId="2234D06F" w:rsidR="001F1CA2" w:rsidRPr="00137F99" w:rsidRDefault="001F1CA2" w:rsidP="001F1CA2">
      <w:pPr>
        <w:jc w:val="center"/>
        <w:rPr>
          <w:b/>
          <w:sz w:val="20"/>
          <w:szCs w:val="21"/>
        </w:rPr>
      </w:pPr>
      <w:r>
        <w:rPr>
          <w:rFonts w:hint="eastAsia"/>
          <w:b/>
          <w:sz w:val="20"/>
          <w:szCs w:val="21"/>
        </w:rPr>
        <w:t>图</w:t>
      </w:r>
      <w:r w:rsidRPr="00137F99">
        <w:rPr>
          <w:rFonts w:hint="eastAsia"/>
          <w:b/>
          <w:sz w:val="20"/>
          <w:szCs w:val="21"/>
        </w:rPr>
        <w:t>：</w:t>
      </w:r>
      <w:r>
        <w:rPr>
          <w:rFonts w:hint="eastAsia"/>
          <w:b/>
          <w:sz w:val="20"/>
          <w:szCs w:val="21"/>
        </w:rPr>
        <w:t>各能级城市消化周期走势</w:t>
      </w:r>
    </w:p>
    <w:p w14:paraId="0E588465" w14:textId="63D45655" w:rsidR="001F1CA2" w:rsidRDefault="00BD5AE1" w:rsidP="001F1CA2">
      <w:pPr>
        <w:pStyle w:val="01"/>
        <w:spacing w:line="240" w:lineRule="auto"/>
      </w:pPr>
      <w:r>
        <w:rPr>
          <w:noProof/>
        </w:rPr>
        <w:lastRenderedPageBreak/>
        <w:drawing>
          <wp:inline distT="0" distB="0" distL="0" distR="0" wp14:anchorId="6400D7B7" wp14:editId="21F6F2BA">
            <wp:extent cx="5486400" cy="2615565"/>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D0B161" w14:textId="77777777" w:rsidR="001F1CA2" w:rsidRPr="00AC2A99" w:rsidRDefault="001F1CA2" w:rsidP="001F1CA2">
      <w:pPr>
        <w:spacing w:line="440" w:lineRule="exact"/>
        <w:ind w:leftChars="100" w:left="210"/>
        <w:rPr>
          <w:rFonts w:ascii="宋体" w:eastAsia="宋体" w:hAnsi="宋体"/>
          <w:sz w:val="20"/>
        </w:rPr>
      </w:pPr>
      <w:r w:rsidRPr="00AC2A99">
        <w:rPr>
          <w:rFonts w:ascii="宋体" w:eastAsia="宋体" w:hAnsi="宋体" w:hint="eastAsia"/>
          <w:sz w:val="20"/>
        </w:rPr>
        <w:t>注：按近12个月平均成交面积计算</w:t>
      </w:r>
    </w:p>
    <w:p w14:paraId="7131C17F" w14:textId="77777777" w:rsidR="001F1CA2" w:rsidRDefault="001F1CA2" w:rsidP="001F1CA2">
      <w:pPr>
        <w:pStyle w:val="13"/>
        <w:spacing w:line="240" w:lineRule="auto"/>
        <w:ind w:firstLineChars="200" w:firstLine="360"/>
        <w:jc w:val="right"/>
        <w:rPr>
          <w:rFonts w:ascii="宋体" w:eastAsia="宋体" w:hAnsi="宋体"/>
          <w:sz w:val="18"/>
          <w:szCs w:val="24"/>
        </w:rPr>
      </w:pPr>
      <w:r w:rsidRPr="0033172E">
        <w:rPr>
          <w:rFonts w:ascii="宋体" w:eastAsia="宋体" w:hAnsi="宋体" w:hint="eastAsia"/>
          <w:sz w:val="18"/>
          <w:szCs w:val="24"/>
        </w:rPr>
        <w:t>数据来源：</w:t>
      </w:r>
      <w:r>
        <w:rPr>
          <w:rFonts w:ascii="宋体" w:eastAsia="宋体" w:hAnsi="宋体" w:hint="eastAsia"/>
          <w:sz w:val="18"/>
          <w:szCs w:val="24"/>
        </w:rPr>
        <w:t>CRIC</w:t>
      </w:r>
    </w:p>
    <w:p w14:paraId="1DD6774E" w14:textId="1913420A" w:rsidR="00EA23B9" w:rsidRPr="007C32A5" w:rsidRDefault="0059633E" w:rsidP="0059633E">
      <w:pPr>
        <w:pStyle w:val="01"/>
        <w:ind w:left="420" w:firstLineChars="0" w:firstLine="0"/>
        <w:outlineLvl w:val="2"/>
        <w:rPr>
          <w:b/>
        </w:rPr>
      </w:pPr>
      <w:bookmarkStart w:id="28" w:name="_Toc127966708"/>
      <w:bookmarkStart w:id="29" w:name="_Toc128583528"/>
      <w:r>
        <w:rPr>
          <w:rFonts w:cs="方正兰亭中黑简体" w:hint="eastAsia"/>
          <w:b/>
          <w:bCs/>
          <w:szCs w:val="21"/>
        </w:rPr>
        <w:t>3）、仍有</w:t>
      </w:r>
      <w:r w:rsidR="007F7E66">
        <w:rPr>
          <w:rFonts w:hint="eastAsia"/>
          <w:b/>
        </w:rPr>
        <w:t>四成城市</w:t>
      </w:r>
      <w:r w:rsidR="009C19C0">
        <w:rPr>
          <w:rFonts w:hint="eastAsia"/>
          <w:b/>
        </w:rPr>
        <w:t>消化周期低于</w:t>
      </w:r>
      <w:r w:rsidR="007F7E66">
        <w:rPr>
          <w:rFonts w:hint="eastAsia"/>
          <w:b/>
        </w:rPr>
        <w:t>2014年</w:t>
      </w:r>
      <w:r w:rsidR="00EA23B9">
        <w:rPr>
          <w:rFonts w:hint="eastAsia"/>
          <w:b/>
        </w:rPr>
        <w:t>，杭州同比增</w:t>
      </w:r>
      <w:r w:rsidR="00A767A9">
        <w:rPr>
          <w:rFonts w:hint="eastAsia"/>
          <w:b/>
        </w:rPr>
        <w:t>1</w:t>
      </w:r>
      <w:r w:rsidR="009C19C0">
        <w:rPr>
          <w:rFonts w:hint="eastAsia"/>
          <w:b/>
        </w:rPr>
        <w:t>63</w:t>
      </w:r>
      <w:r w:rsidR="00A767A9">
        <w:rPr>
          <w:rFonts w:hint="eastAsia"/>
          <w:b/>
        </w:rPr>
        <w:t>%</w:t>
      </w:r>
      <w:r w:rsidR="00EA23B9">
        <w:rPr>
          <w:rFonts w:hint="eastAsia"/>
          <w:b/>
        </w:rPr>
        <w:t>仍低于10个月</w:t>
      </w:r>
      <w:bookmarkEnd w:id="28"/>
      <w:bookmarkEnd w:id="29"/>
      <w:r w:rsidR="005D371E">
        <w:rPr>
          <w:rFonts w:hint="eastAsia"/>
          <w:b/>
        </w:rPr>
        <w:t>（节选）</w:t>
      </w:r>
    </w:p>
    <w:p w14:paraId="18500A60" w14:textId="613A8AE6" w:rsidR="007F7E66" w:rsidRPr="007F7E66" w:rsidRDefault="009C19C0" w:rsidP="008E0483">
      <w:pPr>
        <w:pStyle w:val="01"/>
      </w:pPr>
      <w:r>
        <w:rPr>
          <w:rFonts w:hint="eastAsia"/>
        </w:rPr>
        <w:t>2022年50城整体消化周期虽超过了2014年高点，</w:t>
      </w:r>
      <w:r w:rsidR="00B73E36">
        <w:rPr>
          <w:rFonts w:hint="eastAsia"/>
        </w:rPr>
        <w:t>绝大多数城市的消化周期也较2016年的低点出现明显上升，</w:t>
      </w:r>
      <w:r>
        <w:rPr>
          <w:rFonts w:hint="eastAsia"/>
        </w:rPr>
        <w:t>不过</w:t>
      </w:r>
      <w:r w:rsidR="00B73E36" w:rsidRPr="00B73E36">
        <w:rPr>
          <w:rFonts w:hint="eastAsia"/>
          <w:b/>
        </w:rPr>
        <w:t>对比前期高点来看</w:t>
      </w:r>
      <w:r w:rsidR="003B485C">
        <w:rPr>
          <w:rFonts w:hint="eastAsia"/>
          <w:b/>
        </w:rPr>
        <w:t>各</w:t>
      </w:r>
      <w:bookmarkStart w:id="30" w:name="_GoBack"/>
      <w:bookmarkEnd w:id="30"/>
      <w:r w:rsidR="003B485C">
        <w:rPr>
          <w:rFonts w:hint="eastAsia"/>
          <w:b/>
        </w:rPr>
        <w:t>城市表现</w:t>
      </w:r>
      <w:r w:rsidRPr="00B73E36">
        <w:rPr>
          <w:rFonts w:hint="eastAsia"/>
          <w:b/>
        </w:rPr>
        <w:t>明显分化，</w:t>
      </w:r>
      <w:r w:rsidRPr="00E276ED">
        <w:rPr>
          <w:rFonts w:hint="eastAsia"/>
          <w:b/>
        </w:rPr>
        <w:t>仍有22个城市的消化周期低于2014</w:t>
      </w:r>
      <w:r w:rsidR="00E276ED" w:rsidRPr="00E276ED">
        <w:rPr>
          <w:rFonts w:hint="eastAsia"/>
          <w:b/>
        </w:rPr>
        <w:t>年</w:t>
      </w:r>
      <w:r w:rsidR="00E276ED">
        <w:rPr>
          <w:rFonts w:hint="eastAsia"/>
        </w:rPr>
        <w:t>，</w:t>
      </w:r>
      <w:r w:rsidR="007F7E66" w:rsidRPr="007F7E66">
        <w:rPr>
          <w:rFonts w:hint="eastAsia"/>
          <w:b/>
        </w:rPr>
        <w:t>占比超过四成，其中大部分城市是由于狭义库存规模的回落，</w:t>
      </w:r>
      <w:r w:rsidR="007F7E66" w:rsidRPr="007F7E66">
        <w:rPr>
          <w:rFonts w:hint="eastAsia"/>
        </w:rPr>
        <w:t>使得</w:t>
      </w:r>
      <w:r w:rsidR="007F7E66">
        <w:rPr>
          <w:rFonts w:hint="eastAsia"/>
        </w:rPr>
        <w:t>当前市场去化压力得以小于前期高点，</w:t>
      </w:r>
      <w:r w:rsidR="00E276ED">
        <w:rPr>
          <w:rFonts w:hint="eastAsia"/>
        </w:rPr>
        <w:t>典型如上海、杭州2022年末消化周期分别为6.9和6.4个月，较2014年末降幅均超过60%,这一方面是由于两地成交规模均维持在了1000万㎡左右的相对高位，</w:t>
      </w:r>
      <w:r w:rsidR="00E276ED" w:rsidRPr="007F7E66">
        <w:rPr>
          <w:rFonts w:hint="eastAsia"/>
        </w:rPr>
        <w:t>但更重要的还是其狭义库存规模均控制在了较低水平，仅</w:t>
      </w:r>
      <w:r w:rsidR="00E276ED" w:rsidRPr="00E276ED">
        <w:rPr>
          <w:rFonts w:hint="eastAsia"/>
        </w:rPr>
        <w:t>为500万㎡量级</w:t>
      </w:r>
      <w:r w:rsidR="00E276ED">
        <w:rPr>
          <w:rFonts w:hint="eastAsia"/>
        </w:rPr>
        <w:t>，使得狭义库存消化周期指标处于相对安全的范围。</w:t>
      </w:r>
      <w:r w:rsidR="007F7E66" w:rsidRPr="007F7E66">
        <w:rPr>
          <w:rFonts w:hint="eastAsia"/>
          <w:b/>
        </w:rPr>
        <w:t>也有少部分</w:t>
      </w:r>
      <w:r w:rsidR="00B73E36" w:rsidRPr="007F7E66">
        <w:rPr>
          <w:rFonts w:hint="eastAsia"/>
          <w:b/>
        </w:rPr>
        <w:t>城市</w:t>
      </w:r>
      <w:r w:rsidR="007F7E66">
        <w:rPr>
          <w:rFonts w:hint="eastAsia"/>
          <w:b/>
        </w:rPr>
        <w:t>是由于</w:t>
      </w:r>
      <w:r w:rsidR="00B73E36" w:rsidRPr="007F7E66">
        <w:rPr>
          <w:rFonts w:hint="eastAsia"/>
          <w:b/>
        </w:rPr>
        <w:t>交易规模上新台阶</w:t>
      </w:r>
      <w:r w:rsidR="00B73E36">
        <w:rPr>
          <w:rFonts w:hint="eastAsia"/>
        </w:rPr>
        <w:t>，并能够在2022年仍能保持较高水平，典型如</w:t>
      </w:r>
      <w:r w:rsidR="007F7E66">
        <w:rPr>
          <w:rFonts w:hint="eastAsia"/>
        </w:rPr>
        <w:t>宁波2014年时住宅销售规模仅为400万㎡量级，但是在2016年市场规模迅速扩容至1000万㎡量级水平，2022年销售规模虽同比腰斩，但仍达到了640万平方米，正</w:t>
      </w:r>
      <w:r w:rsidR="007F7E66" w:rsidRPr="007F7E66">
        <w:rPr>
          <w:rFonts w:hint="eastAsia"/>
        </w:rPr>
        <w:t>是得益于交易规模较2014年的大幅提升，在狭义库存较2014年增加24%至745万㎡的情况下，2022年末宁波狭义库存消化周期仍然只有14个月，较2014年下降17%，在样本城市中亦处于相对较优的水平。</w:t>
      </w:r>
    </w:p>
    <w:p w14:paraId="0DE655A9" w14:textId="67E414F1" w:rsidR="008E0483" w:rsidRPr="00FD0C50" w:rsidRDefault="00FD0C50" w:rsidP="00FD0C50">
      <w:pPr>
        <w:jc w:val="center"/>
        <w:rPr>
          <w:b/>
          <w:sz w:val="20"/>
          <w:szCs w:val="21"/>
        </w:rPr>
      </w:pPr>
      <w:r w:rsidRPr="00FD0C50">
        <w:rPr>
          <w:rFonts w:hint="eastAsia"/>
          <w:b/>
          <w:sz w:val="20"/>
          <w:szCs w:val="21"/>
        </w:rPr>
        <w:t>表：</w:t>
      </w:r>
      <w:r w:rsidR="004C6C47">
        <w:rPr>
          <w:rFonts w:hint="eastAsia"/>
          <w:b/>
          <w:sz w:val="20"/>
          <w:szCs w:val="21"/>
        </w:rPr>
        <w:t>50</w:t>
      </w:r>
      <w:r>
        <w:rPr>
          <w:rFonts w:hint="eastAsia"/>
          <w:b/>
          <w:sz w:val="20"/>
          <w:szCs w:val="21"/>
        </w:rPr>
        <w:t>城</w:t>
      </w:r>
      <w:r>
        <w:rPr>
          <w:rFonts w:hint="eastAsia"/>
          <w:b/>
          <w:sz w:val="20"/>
          <w:szCs w:val="21"/>
        </w:rPr>
        <w:t>2022</w:t>
      </w:r>
      <w:r>
        <w:rPr>
          <w:rFonts w:hint="eastAsia"/>
          <w:b/>
          <w:sz w:val="20"/>
          <w:szCs w:val="21"/>
        </w:rPr>
        <w:t>年</w:t>
      </w:r>
      <w:r>
        <w:rPr>
          <w:rFonts w:hint="eastAsia"/>
          <w:b/>
          <w:sz w:val="20"/>
          <w:szCs w:val="21"/>
        </w:rPr>
        <w:t>12</w:t>
      </w:r>
      <w:r>
        <w:rPr>
          <w:rFonts w:hint="eastAsia"/>
          <w:b/>
          <w:sz w:val="20"/>
          <w:szCs w:val="21"/>
        </w:rPr>
        <w:t>月末消化周期</w:t>
      </w:r>
      <w:r w:rsidR="00AC7B25">
        <w:rPr>
          <w:rFonts w:hint="eastAsia"/>
          <w:b/>
          <w:sz w:val="20"/>
          <w:szCs w:val="21"/>
        </w:rPr>
        <w:t>（月）</w:t>
      </w:r>
    </w:p>
    <w:tbl>
      <w:tblPr>
        <w:tblW w:w="8138" w:type="dxa"/>
        <w:tblInd w:w="93" w:type="dxa"/>
        <w:tblLook w:val="04A0" w:firstRow="1" w:lastRow="0" w:firstColumn="1" w:lastColumn="0" w:noHBand="0" w:noVBand="1"/>
      </w:tblPr>
      <w:tblGrid>
        <w:gridCol w:w="1433"/>
        <w:gridCol w:w="1345"/>
        <w:gridCol w:w="1080"/>
        <w:gridCol w:w="1080"/>
        <w:gridCol w:w="1600"/>
        <w:gridCol w:w="1600"/>
      </w:tblGrid>
      <w:tr w:rsidR="00AC7B25" w:rsidRPr="00AC7B25" w14:paraId="549A2487" w14:textId="77777777" w:rsidTr="00AC7B25">
        <w:trPr>
          <w:trHeight w:val="285"/>
        </w:trPr>
        <w:tc>
          <w:tcPr>
            <w:tcW w:w="1433"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62B03226" w14:textId="77777777" w:rsidR="00AC7B25" w:rsidRPr="00AC7B25" w:rsidRDefault="00AC7B25" w:rsidP="00AC7B25">
            <w:pPr>
              <w:widowControl/>
              <w:jc w:val="center"/>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城市能级</w:t>
            </w:r>
          </w:p>
        </w:tc>
        <w:tc>
          <w:tcPr>
            <w:tcW w:w="1345" w:type="dxa"/>
            <w:tcBorders>
              <w:top w:val="single" w:sz="4" w:space="0" w:color="auto"/>
              <w:left w:val="nil"/>
              <w:bottom w:val="single" w:sz="4" w:space="0" w:color="auto"/>
              <w:right w:val="single" w:sz="4" w:space="0" w:color="auto"/>
            </w:tcBorders>
            <w:shd w:val="clear" w:color="000000" w:fill="B7DEE8"/>
            <w:noWrap/>
            <w:vAlign w:val="bottom"/>
            <w:hideMark/>
          </w:tcPr>
          <w:p w14:paraId="1C80CAC7" w14:textId="77777777" w:rsidR="00AC7B25" w:rsidRPr="00AC7B25" w:rsidRDefault="00AC7B25" w:rsidP="00AC7B25">
            <w:pPr>
              <w:widowControl/>
              <w:jc w:val="lef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城市</w:t>
            </w:r>
          </w:p>
        </w:tc>
        <w:tc>
          <w:tcPr>
            <w:tcW w:w="1080" w:type="dxa"/>
            <w:tcBorders>
              <w:top w:val="single" w:sz="4" w:space="0" w:color="auto"/>
              <w:left w:val="nil"/>
              <w:bottom w:val="single" w:sz="4" w:space="0" w:color="auto"/>
              <w:right w:val="single" w:sz="4" w:space="0" w:color="auto"/>
            </w:tcBorders>
            <w:shd w:val="clear" w:color="000000" w:fill="B7DEE8"/>
            <w:noWrap/>
            <w:vAlign w:val="bottom"/>
            <w:hideMark/>
          </w:tcPr>
          <w:p w14:paraId="13EFFF26" w14:textId="139BF893" w:rsidR="00AC7B25" w:rsidRPr="00AC7B25" w:rsidRDefault="00AC7B25" w:rsidP="00AC7B25">
            <w:pPr>
              <w:widowControl/>
              <w:jc w:val="lef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2022年</w:t>
            </w:r>
            <w:r>
              <w:rPr>
                <w:rFonts w:ascii="宋体" w:eastAsia="宋体" w:hAnsi="宋体" w:cs="宋体" w:hint="eastAsia"/>
                <w:color w:val="000000"/>
                <w:kern w:val="0"/>
                <w:sz w:val="20"/>
                <w:szCs w:val="21"/>
              </w:rPr>
              <w:t>末</w:t>
            </w:r>
          </w:p>
        </w:tc>
        <w:tc>
          <w:tcPr>
            <w:tcW w:w="1080" w:type="dxa"/>
            <w:tcBorders>
              <w:top w:val="single" w:sz="4" w:space="0" w:color="auto"/>
              <w:left w:val="nil"/>
              <w:bottom w:val="single" w:sz="4" w:space="0" w:color="auto"/>
              <w:right w:val="single" w:sz="4" w:space="0" w:color="auto"/>
            </w:tcBorders>
            <w:shd w:val="clear" w:color="000000" w:fill="B7DEE8"/>
            <w:noWrap/>
            <w:vAlign w:val="bottom"/>
            <w:hideMark/>
          </w:tcPr>
          <w:p w14:paraId="791C19E3" w14:textId="77777777" w:rsidR="00AC7B25" w:rsidRPr="00AC7B25" w:rsidRDefault="00AC7B25" w:rsidP="00AC7B25">
            <w:pPr>
              <w:widowControl/>
              <w:jc w:val="lef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同比</w:t>
            </w:r>
          </w:p>
        </w:tc>
        <w:tc>
          <w:tcPr>
            <w:tcW w:w="1600" w:type="dxa"/>
            <w:tcBorders>
              <w:top w:val="single" w:sz="4" w:space="0" w:color="auto"/>
              <w:left w:val="nil"/>
              <w:bottom w:val="single" w:sz="4" w:space="0" w:color="auto"/>
              <w:right w:val="single" w:sz="4" w:space="0" w:color="auto"/>
            </w:tcBorders>
            <w:shd w:val="clear" w:color="000000" w:fill="B7DEE8"/>
            <w:noWrap/>
            <w:vAlign w:val="bottom"/>
            <w:hideMark/>
          </w:tcPr>
          <w:p w14:paraId="461A0570" w14:textId="77777777" w:rsidR="00AC7B25" w:rsidRPr="00AC7B25" w:rsidRDefault="00AC7B25" w:rsidP="00AC7B25">
            <w:pPr>
              <w:widowControl/>
              <w:jc w:val="lef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较2016年低点</w:t>
            </w:r>
          </w:p>
        </w:tc>
        <w:tc>
          <w:tcPr>
            <w:tcW w:w="1600" w:type="dxa"/>
            <w:tcBorders>
              <w:top w:val="single" w:sz="4" w:space="0" w:color="auto"/>
              <w:left w:val="nil"/>
              <w:bottom w:val="single" w:sz="4" w:space="0" w:color="auto"/>
              <w:right w:val="single" w:sz="4" w:space="0" w:color="auto"/>
            </w:tcBorders>
            <w:shd w:val="clear" w:color="000000" w:fill="B7DEE8"/>
            <w:noWrap/>
            <w:vAlign w:val="bottom"/>
            <w:hideMark/>
          </w:tcPr>
          <w:p w14:paraId="6F4F69C9" w14:textId="77777777" w:rsidR="00AC7B25" w:rsidRPr="00AC7B25" w:rsidRDefault="00AC7B25" w:rsidP="00AC7B25">
            <w:pPr>
              <w:widowControl/>
              <w:jc w:val="lef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较2014年高点</w:t>
            </w:r>
          </w:p>
        </w:tc>
      </w:tr>
      <w:tr w:rsidR="00AE3169" w:rsidRPr="00AC7B25" w14:paraId="0DD15CB5" w14:textId="77777777" w:rsidTr="00AC7B25">
        <w:trPr>
          <w:trHeight w:val="285"/>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82716" w14:textId="77777777" w:rsidR="00AE3169" w:rsidRPr="00AC7B25" w:rsidRDefault="00AE3169" w:rsidP="00AE3169">
            <w:pPr>
              <w:widowControl/>
              <w:jc w:val="center"/>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一线</w:t>
            </w:r>
          </w:p>
        </w:tc>
        <w:tc>
          <w:tcPr>
            <w:tcW w:w="1345" w:type="dxa"/>
            <w:tcBorders>
              <w:top w:val="nil"/>
              <w:left w:val="nil"/>
              <w:bottom w:val="single" w:sz="4" w:space="0" w:color="auto"/>
              <w:right w:val="single" w:sz="4" w:space="0" w:color="auto"/>
            </w:tcBorders>
            <w:shd w:val="clear" w:color="auto" w:fill="auto"/>
            <w:noWrap/>
            <w:vAlign w:val="bottom"/>
            <w:hideMark/>
          </w:tcPr>
          <w:p w14:paraId="74803AE0" w14:textId="122BA2E8"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北京*</w:t>
            </w:r>
          </w:p>
        </w:tc>
        <w:tc>
          <w:tcPr>
            <w:tcW w:w="1080" w:type="dxa"/>
            <w:tcBorders>
              <w:top w:val="nil"/>
              <w:left w:val="nil"/>
              <w:bottom w:val="single" w:sz="4" w:space="0" w:color="auto"/>
              <w:right w:val="single" w:sz="4" w:space="0" w:color="auto"/>
            </w:tcBorders>
            <w:shd w:val="clear" w:color="auto" w:fill="auto"/>
            <w:noWrap/>
            <w:vAlign w:val="center"/>
            <w:hideMark/>
          </w:tcPr>
          <w:p w14:paraId="765F92F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22.7</w:t>
            </w:r>
          </w:p>
        </w:tc>
        <w:tc>
          <w:tcPr>
            <w:tcW w:w="1080" w:type="dxa"/>
            <w:tcBorders>
              <w:top w:val="nil"/>
              <w:left w:val="nil"/>
              <w:bottom w:val="single" w:sz="4" w:space="0" w:color="auto"/>
              <w:right w:val="single" w:sz="4" w:space="0" w:color="auto"/>
            </w:tcBorders>
            <w:shd w:val="clear" w:color="auto" w:fill="auto"/>
            <w:noWrap/>
            <w:vAlign w:val="center"/>
            <w:hideMark/>
          </w:tcPr>
          <w:p w14:paraId="4B95133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33%</w:t>
            </w:r>
          </w:p>
        </w:tc>
        <w:tc>
          <w:tcPr>
            <w:tcW w:w="1600" w:type="dxa"/>
            <w:tcBorders>
              <w:top w:val="nil"/>
              <w:left w:val="nil"/>
              <w:bottom w:val="single" w:sz="4" w:space="0" w:color="auto"/>
              <w:right w:val="single" w:sz="4" w:space="0" w:color="auto"/>
            </w:tcBorders>
            <w:shd w:val="clear" w:color="auto" w:fill="auto"/>
            <w:noWrap/>
            <w:vAlign w:val="center"/>
            <w:hideMark/>
          </w:tcPr>
          <w:p w14:paraId="310F4C4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224%</w:t>
            </w:r>
          </w:p>
        </w:tc>
        <w:tc>
          <w:tcPr>
            <w:tcW w:w="1600" w:type="dxa"/>
            <w:tcBorders>
              <w:top w:val="nil"/>
              <w:left w:val="nil"/>
              <w:bottom w:val="single" w:sz="4" w:space="0" w:color="auto"/>
              <w:right w:val="single" w:sz="4" w:space="0" w:color="auto"/>
            </w:tcBorders>
            <w:shd w:val="clear" w:color="auto" w:fill="auto"/>
            <w:noWrap/>
            <w:vAlign w:val="center"/>
            <w:hideMark/>
          </w:tcPr>
          <w:p w14:paraId="32EECA3D"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5%</w:t>
            </w:r>
          </w:p>
        </w:tc>
      </w:tr>
      <w:tr w:rsidR="00AE3169" w:rsidRPr="00E276ED" w14:paraId="320B6BCB"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33DE375D"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6EFEB9AF" w14:textId="61CB7BA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上海*</w:t>
            </w:r>
          </w:p>
        </w:tc>
        <w:tc>
          <w:tcPr>
            <w:tcW w:w="1080" w:type="dxa"/>
            <w:tcBorders>
              <w:top w:val="nil"/>
              <w:left w:val="nil"/>
              <w:bottom w:val="single" w:sz="4" w:space="0" w:color="auto"/>
              <w:right w:val="single" w:sz="4" w:space="0" w:color="auto"/>
            </w:tcBorders>
            <w:shd w:val="clear" w:color="auto" w:fill="auto"/>
            <w:noWrap/>
            <w:vAlign w:val="center"/>
            <w:hideMark/>
          </w:tcPr>
          <w:p w14:paraId="3D2652AE" w14:textId="77777777" w:rsidR="00AE3169" w:rsidRPr="00AC7B25" w:rsidRDefault="00AE3169" w:rsidP="00AE3169">
            <w:pPr>
              <w:widowControl/>
              <w:jc w:val="right"/>
              <w:rPr>
                <w:rFonts w:ascii="宋体" w:eastAsia="宋体" w:hAnsi="宋体" w:cs="宋体"/>
                <w:color w:val="000000"/>
                <w:kern w:val="0"/>
                <w:sz w:val="20"/>
                <w:szCs w:val="21"/>
              </w:rPr>
            </w:pPr>
            <w:r w:rsidRPr="00B73E36">
              <w:rPr>
                <w:rFonts w:ascii="宋体" w:eastAsia="宋体" w:hAnsi="宋体" w:cs="宋体" w:hint="eastAsia"/>
                <w:color w:val="0070C0"/>
                <w:kern w:val="0"/>
                <w:sz w:val="20"/>
                <w:szCs w:val="21"/>
              </w:rPr>
              <w:t>6.9</w:t>
            </w:r>
          </w:p>
        </w:tc>
        <w:tc>
          <w:tcPr>
            <w:tcW w:w="1080" w:type="dxa"/>
            <w:tcBorders>
              <w:top w:val="nil"/>
              <w:left w:val="nil"/>
              <w:bottom w:val="single" w:sz="4" w:space="0" w:color="auto"/>
              <w:right w:val="single" w:sz="4" w:space="0" w:color="auto"/>
            </w:tcBorders>
            <w:shd w:val="clear" w:color="auto" w:fill="auto"/>
            <w:noWrap/>
            <w:vAlign w:val="center"/>
            <w:hideMark/>
          </w:tcPr>
          <w:p w14:paraId="023EAA7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27%</w:t>
            </w:r>
          </w:p>
        </w:tc>
        <w:tc>
          <w:tcPr>
            <w:tcW w:w="1600" w:type="dxa"/>
            <w:tcBorders>
              <w:top w:val="nil"/>
              <w:left w:val="nil"/>
              <w:bottom w:val="single" w:sz="4" w:space="0" w:color="auto"/>
              <w:right w:val="single" w:sz="4" w:space="0" w:color="auto"/>
            </w:tcBorders>
            <w:shd w:val="clear" w:color="auto" w:fill="auto"/>
            <w:noWrap/>
            <w:vAlign w:val="center"/>
            <w:hideMark/>
          </w:tcPr>
          <w:p w14:paraId="391E551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w:t>
            </w:r>
          </w:p>
        </w:tc>
        <w:tc>
          <w:tcPr>
            <w:tcW w:w="1600" w:type="dxa"/>
            <w:tcBorders>
              <w:top w:val="nil"/>
              <w:left w:val="nil"/>
              <w:bottom w:val="single" w:sz="4" w:space="0" w:color="auto"/>
              <w:right w:val="single" w:sz="4" w:space="0" w:color="auto"/>
            </w:tcBorders>
            <w:shd w:val="clear" w:color="auto" w:fill="auto"/>
            <w:noWrap/>
            <w:vAlign w:val="center"/>
            <w:hideMark/>
          </w:tcPr>
          <w:p w14:paraId="5BB46173"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-65%</w:t>
            </w:r>
          </w:p>
        </w:tc>
      </w:tr>
      <w:tr w:rsidR="00AE3169" w:rsidRPr="00AC7B25" w14:paraId="0D233DFF"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7B331D9D"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73040C30" w14:textId="07D9660D"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广州</w:t>
            </w:r>
          </w:p>
        </w:tc>
        <w:tc>
          <w:tcPr>
            <w:tcW w:w="1080" w:type="dxa"/>
            <w:tcBorders>
              <w:top w:val="nil"/>
              <w:left w:val="nil"/>
              <w:bottom w:val="single" w:sz="4" w:space="0" w:color="auto"/>
              <w:right w:val="single" w:sz="4" w:space="0" w:color="auto"/>
            </w:tcBorders>
            <w:shd w:val="clear" w:color="auto" w:fill="auto"/>
            <w:noWrap/>
            <w:vAlign w:val="center"/>
            <w:hideMark/>
          </w:tcPr>
          <w:p w14:paraId="7D548CE3"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20.8</w:t>
            </w:r>
          </w:p>
        </w:tc>
        <w:tc>
          <w:tcPr>
            <w:tcW w:w="1080" w:type="dxa"/>
            <w:tcBorders>
              <w:top w:val="nil"/>
              <w:left w:val="nil"/>
              <w:bottom w:val="single" w:sz="4" w:space="0" w:color="auto"/>
              <w:right w:val="single" w:sz="4" w:space="0" w:color="auto"/>
            </w:tcBorders>
            <w:shd w:val="clear" w:color="auto" w:fill="auto"/>
            <w:noWrap/>
            <w:vAlign w:val="center"/>
            <w:hideMark/>
          </w:tcPr>
          <w:p w14:paraId="2FADDF9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69%</w:t>
            </w:r>
          </w:p>
        </w:tc>
        <w:tc>
          <w:tcPr>
            <w:tcW w:w="1600" w:type="dxa"/>
            <w:tcBorders>
              <w:top w:val="nil"/>
              <w:left w:val="nil"/>
              <w:bottom w:val="single" w:sz="4" w:space="0" w:color="auto"/>
              <w:right w:val="single" w:sz="4" w:space="0" w:color="auto"/>
            </w:tcBorders>
            <w:shd w:val="clear" w:color="auto" w:fill="auto"/>
            <w:noWrap/>
            <w:vAlign w:val="center"/>
            <w:hideMark/>
          </w:tcPr>
          <w:p w14:paraId="3C6893A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206%</w:t>
            </w:r>
          </w:p>
        </w:tc>
        <w:tc>
          <w:tcPr>
            <w:tcW w:w="1600" w:type="dxa"/>
            <w:tcBorders>
              <w:top w:val="nil"/>
              <w:left w:val="nil"/>
              <w:bottom w:val="single" w:sz="4" w:space="0" w:color="auto"/>
              <w:right w:val="single" w:sz="4" w:space="0" w:color="auto"/>
            </w:tcBorders>
            <w:shd w:val="clear" w:color="auto" w:fill="auto"/>
            <w:noWrap/>
            <w:vAlign w:val="center"/>
            <w:hideMark/>
          </w:tcPr>
          <w:p w14:paraId="12F6478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17%</w:t>
            </w:r>
          </w:p>
        </w:tc>
      </w:tr>
      <w:tr w:rsidR="00AE3169" w:rsidRPr="00AC7B25" w14:paraId="18CBB05E"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1C0E1058"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6295B5FE" w14:textId="624E8013"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深圳*</w:t>
            </w:r>
          </w:p>
        </w:tc>
        <w:tc>
          <w:tcPr>
            <w:tcW w:w="1080" w:type="dxa"/>
            <w:tcBorders>
              <w:top w:val="nil"/>
              <w:left w:val="nil"/>
              <w:bottom w:val="single" w:sz="4" w:space="0" w:color="auto"/>
              <w:right w:val="single" w:sz="4" w:space="0" w:color="auto"/>
            </w:tcBorders>
            <w:shd w:val="clear" w:color="auto" w:fill="auto"/>
            <w:noWrap/>
            <w:vAlign w:val="center"/>
            <w:hideMark/>
          </w:tcPr>
          <w:p w14:paraId="2473A9B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17.7</w:t>
            </w:r>
          </w:p>
        </w:tc>
        <w:tc>
          <w:tcPr>
            <w:tcW w:w="1080" w:type="dxa"/>
            <w:tcBorders>
              <w:top w:val="nil"/>
              <w:left w:val="nil"/>
              <w:bottom w:val="single" w:sz="4" w:space="0" w:color="auto"/>
              <w:right w:val="single" w:sz="4" w:space="0" w:color="auto"/>
            </w:tcBorders>
            <w:shd w:val="clear" w:color="auto" w:fill="auto"/>
            <w:noWrap/>
            <w:vAlign w:val="center"/>
            <w:hideMark/>
          </w:tcPr>
          <w:p w14:paraId="0441ABA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77%</w:t>
            </w:r>
          </w:p>
        </w:tc>
        <w:tc>
          <w:tcPr>
            <w:tcW w:w="1600" w:type="dxa"/>
            <w:tcBorders>
              <w:top w:val="nil"/>
              <w:left w:val="nil"/>
              <w:bottom w:val="single" w:sz="4" w:space="0" w:color="auto"/>
              <w:right w:val="single" w:sz="4" w:space="0" w:color="auto"/>
            </w:tcBorders>
            <w:shd w:val="clear" w:color="auto" w:fill="auto"/>
            <w:noWrap/>
            <w:vAlign w:val="center"/>
            <w:hideMark/>
          </w:tcPr>
          <w:p w14:paraId="666373B8"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28%</w:t>
            </w:r>
          </w:p>
        </w:tc>
        <w:tc>
          <w:tcPr>
            <w:tcW w:w="1600" w:type="dxa"/>
            <w:tcBorders>
              <w:top w:val="nil"/>
              <w:left w:val="nil"/>
              <w:bottom w:val="single" w:sz="4" w:space="0" w:color="auto"/>
              <w:right w:val="single" w:sz="4" w:space="0" w:color="auto"/>
            </w:tcBorders>
            <w:shd w:val="clear" w:color="auto" w:fill="auto"/>
            <w:noWrap/>
            <w:vAlign w:val="center"/>
            <w:hideMark/>
          </w:tcPr>
          <w:p w14:paraId="105B475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w:t>
            </w:r>
          </w:p>
        </w:tc>
      </w:tr>
      <w:tr w:rsidR="00AE3169" w:rsidRPr="00AC7B25" w14:paraId="42EC1C84" w14:textId="77777777" w:rsidTr="00AC7B25">
        <w:trPr>
          <w:trHeight w:val="285"/>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39B3A1" w14:textId="77777777" w:rsidR="00AE3169" w:rsidRPr="00AC7B25" w:rsidRDefault="00AE3169" w:rsidP="00AE3169">
            <w:pPr>
              <w:widowControl/>
              <w:jc w:val="center"/>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二线</w:t>
            </w:r>
          </w:p>
        </w:tc>
        <w:tc>
          <w:tcPr>
            <w:tcW w:w="1345" w:type="dxa"/>
            <w:tcBorders>
              <w:top w:val="nil"/>
              <w:left w:val="nil"/>
              <w:bottom w:val="single" w:sz="4" w:space="0" w:color="auto"/>
              <w:right w:val="single" w:sz="4" w:space="0" w:color="auto"/>
            </w:tcBorders>
            <w:shd w:val="clear" w:color="auto" w:fill="auto"/>
            <w:noWrap/>
            <w:vAlign w:val="bottom"/>
            <w:hideMark/>
          </w:tcPr>
          <w:p w14:paraId="15AD0B25" w14:textId="6A14E18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杭州</w:t>
            </w:r>
          </w:p>
        </w:tc>
        <w:tc>
          <w:tcPr>
            <w:tcW w:w="1080" w:type="dxa"/>
            <w:tcBorders>
              <w:top w:val="nil"/>
              <w:left w:val="nil"/>
              <w:bottom w:val="single" w:sz="4" w:space="0" w:color="auto"/>
              <w:right w:val="single" w:sz="4" w:space="0" w:color="auto"/>
            </w:tcBorders>
            <w:shd w:val="clear" w:color="auto" w:fill="auto"/>
            <w:noWrap/>
            <w:vAlign w:val="center"/>
            <w:hideMark/>
          </w:tcPr>
          <w:p w14:paraId="2A91543F" w14:textId="77777777" w:rsidR="00AE3169" w:rsidRPr="00AC7B25" w:rsidRDefault="00AE3169" w:rsidP="00AE3169">
            <w:pPr>
              <w:widowControl/>
              <w:jc w:val="right"/>
              <w:rPr>
                <w:rFonts w:ascii="宋体" w:eastAsia="宋体" w:hAnsi="宋体" w:cs="宋体"/>
                <w:color w:val="000000"/>
                <w:kern w:val="0"/>
                <w:sz w:val="20"/>
                <w:szCs w:val="21"/>
              </w:rPr>
            </w:pPr>
            <w:r w:rsidRPr="00DD397B">
              <w:rPr>
                <w:rFonts w:ascii="宋体" w:eastAsia="宋体" w:hAnsi="宋体" w:cs="宋体" w:hint="eastAsia"/>
                <w:color w:val="0070C0"/>
                <w:kern w:val="0"/>
                <w:sz w:val="20"/>
                <w:szCs w:val="21"/>
              </w:rPr>
              <w:t>6.4</w:t>
            </w:r>
          </w:p>
        </w:tc>
        <w:tc>
          <w:tcPr>
            <w:tcW w:w="1080" w:type="dxa"/>
            <w:tcBorders>
              <w:top w:val="nil"/>
              <w:left w:val="nil"/>
              <w:bottom w:val="single" w:sz="4" w:space="0" w:color="auto"/>
              <w:right w:val="single" w:sz="4" w:space="0" w:color="auto"/>
            </w:tcBorders>
            <w:shd w:val="clear" w:color="auto" w:fill="auto"/>
            <w:noWrap/>
            <w:vAlign w:val="center"/>
            <w:hideMark/>
          </w:tcPr>
          <w:p w14:paraId="2459CB8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163%</w:t>
            </w:r>
          </w:p>
        </w:tc>
        <w:tc>
          <w:tcPr>
            <w:tcW w:w="1600" w:type="dxa"/>
            <w:tcBorders>
              <w:top w:val="nil"/>
              <w:left w:val="nil"/>
              <w:bottom w:val="single" w:sz="4" w:space="0" w:color="auto"/>
              <w:right w:val="single" w:sz="4" w:space="0" w:color="auto"/>
            </w:tcBorders>
            <w:shd w:val="clear" w:color="auto" w:fill="auto"/>
            <w:noWrap/>
            <w:vAlign w:val="center"/>
            <w:hideMark/>
          </w:tcPr>
          <w:p w14:paraId="23E0ECC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35%</w:t>
            </w:r>
          </w:p>
        </w:tc>
        <w:tc>
          <w:tcPr>
            <w:tcW w:w="1600" w:type="dxa"/>
            <w:tcBorders>
              <w:top w:val="nil"/>
              <w:left w:val="nil"/>
              <w:bottom w:val="single" w:sz="4" w:space="0" w:color="auto"/>
              <w:right w:val="single" w:sz="4" w:space="0" w:color="auto"/>
            </w:tcBorders>
            <w:shd w:val="clear" w:color="auto" w:fill="auto"/>
            <w:noWrap/>
            <w:vAlign w:val="center"/>
            <w:hideMark/>
          </w:tcPr>
          <w:p w14:paraId="06E9659E"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-63%</w:t>
            </w:r>
          </w:p>
        </w:tc>
      </w:tr>
      <w:tr w:rsidR="00AE3169" w:rsidRPr="00AC7B25" w14:paraId="2A24873B"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770EBDAE"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0B8FB23A" w14:textId="1B74C710"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西安</w:t>
            </w:r>
          </w:p>
        </w:tc>
        <w:tc>
          <w:tcPr>
            <w:tcW w:w="1080" w:type="dxa"/>
            <w:tcBorders>
              <w:top w:val="nil"/>
              <w:left w:val="nil"/>
              <w:bottom w:val="single" w:sz="4" w:space="0" w:color="auto"/>
              <w:right w:val="single" w:sz="4" w:space="0" w:color="auto"/>
            </w:tcBorders>
            <w:shd w:val="clear" w:color="auto" w:fill="auto"/>
            <w:noWrap/>
            <w:vAlign w:val="center"/>
            <w:hideMark/>
          </w:tcPr>
          <w:p w14:paraId="22B511D8" w14:textId="77777777" w:rsidR="00AE3169" w:rsidRPr="00B73E36" w:rsidRDefault="00AE3169" w:rsidP="00AE3169">
            <w:pPr>
              <w:widowControl/>
              <w:jc w:val="right"/>
              <w:rPr>
                <w:rFonts w:ascii="宋体" w:eastAsia="宋体" w:hAnsi="宋体" w:cs="宋体"/>
                <w:color w:val="0070C0"/>
                <w:kern w:val="0"/>
                <w:sz w:val="20"/>
                <w:szCs w:val="21"/>
              </w:rPr>
            </w:pPr>
            <w:r w:rsidRPr="00B73E36">
              <w:rPr>
                <w:rFonts w:ascii="宋体" w:eastAsia="宋体" w:hAnsi="宋体" w:cs="宋体" w:hint="eastAsia"/>
                <w:color w:val="0070C0"/>
                <w:kern w:val="0"/>
                <w:sz w:val="20"/>
                <w:szCs w:val="21"/>
              </w:rPr>
              <w:t>11.6</w:t>
            </w:r>
          </w:p>
        </w:tc>
        <w:tc>
          <w:tcPr>
            <w:tcW w:w="1080" w:type="dxa"/>
            <w:tcBorders>
              <w:top w:val="nil"/>
              <w:left w:val="nil"/>
              <w:bottom w:val="single" w:sz="4" w:space="0" w:color="auto"/>
              <w:right w:val="single" w:sz="4" w:space="0" w:color="auto"/>
            </w:tcBorders>
            <w:shd w:val="clear" w:color="auto" w:fill="auto"/>
            <w:noWrap/>
            <w:vAlign w:val="center"/>
            <w:hideMark/>
          </w:tcPr>
          <w:p w14:paraId="177A5CD8"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35%</w:t>
            </w:r>
          </w:p>
        </w:tc>
        <w:tc>
          <w:tcPr>
            <w:tcW w:w="1600" w:type="dxa"/>
            <w:tcBorders>
              <w:top w:val="nil"/>
              <w:left w:val="nil"/>
              <w:bottom w:val="single" w:sz="4" w:space="0" w:color="auto"/>
              <w:right w:val="single" w:sz="4" w:space="0" w:color="auto"/>
            </w:tcBorders>
            <w:shd w:val="clear" w:color="auto" w:fill="auto"/>
            <w:noWrap/>
            <w:vAlign w:val="center"/>
            <w:hideMark/>
          </w:tcPr>
          <w:p w14:paraId="4C4887F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12%</w:t>
            </w:r>
          </w:p>
        </w:tc>
        <w:tc>
          <w:tcPr>
            <w:tcW w:w="1600" w:type="dxa"/>
            <w:tcBorders>
              <w:top w:val="nil"/>
              <w:left w:val="nil"/>
              <w:bottom w:val="single" w:sz="4" w:space="0" w:color="auto"/>
              <w:right w:val="single" w:sz="4" w:space="0" w:color="auto"/>
            </w:tcBorders>
            <w:shd w:val="clear" w:color="auto" w:fill="auto"/>
            <w:noWrap/>
            <w:vAlign w:val="center"/>
            <w:hideMark/>
          </w:tcPr>
          <w:p w14:paraId="1595AD42"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-48%</w:t>
            </w:r>
          </w:p>
        </w:tc>
      </w:tr>
      <w:tr w:rsidR="00AE3169" w:rsidRPr="00AC7B25" w14:paraId="7E3E8B9E"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5664BC7F"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71A03AB6" w14:textId="70ADC576"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合肥</w:t>
            </w:r>
          </w:p>
        </w:tc>
        <w:tc>
          <w:tcPr>
            <w:tcW w:w="1080" w:type="dxa"/>
            <w:tcBorders>
              <w:top w:val="nil"/>
              <w:left w:val="nil"/>
              <w:bottom w:val="single" w:sz="4" w:space="0" w:color="auto"/>
              <w:right w:val="single" w:sz="4" w:space="0" w:color="auto"/>
            </w:tcBorders>
            <w:shd w:val="clear" w:color="auto" w:fill="auto"/>
            <w:noWrap/>
            <w:vAlign w:val="center"/>
            <w:hideMark/>
          </w:tcPr>
          <w:p w14:paraId="2AF94B82" w14:textId="77777777" w:rsidR="00AE3169" w:rsidRPr="00B73E36" w:rsidRDefault="00AE3169" w:rsidP="00AE3169">
            <w:pPr>
              <w:widowControl/>
              <w:jc w:val="right"/>
              <w:rPr>
                <w:rFonts w:ascii="宋体" w:eastAsia="宋体" w:hAnsi="宋体" w:cs="宋体"/>
                <w:color w:val="0070C0"/>
                <w:kern w:val="0"/>
                <w:sz w:val="20"/>
                <w:szCs w:val="21"/>
              </w:rPr>
            </w:pPr>
            <w:r w:rsidRPr="00B73E36">
              <w:rPr>
                <w:rFonts w:ascii="宋体" w:eastAsia="宋体" w:hAnsi="宋体" w:cs="宋体" w:hint="eastAsia"/>
                <w:color w:val="0070C0"/>
                <w:kern w:val="0"/>
                <w:sz w:val="20"/>
                <w:szCs w:val="21"/>
              </w:rPr>
              <w:t>5.2</w:t>
            </w:r>
          </w:p>
        </w:tc>
        <w:tc>
          <w:tcPr>
            <w:tcW w:w="1080" w:type="dxa"/>
            <w:tcBorders>
              <w:top w:val="nil"/>
              <w:left w:val="nil"/>
              <w:bottom w:val="single" w:sz="4" w:space="0" w:color="auto"/>
              <w:right w:val="single" w:sz="4" w:space="0" w:color="auto"/>
            </w:tcBorders>
            <w:shd w:val="clear" w:color="auto" w:fill="auto"/>
            <w:noWrap/>
            <w:vAlign w:val="center"/>
            <w:hideMark/>
          </w:tcPr>
          <w:p w14:paraId="38D2899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60%</w:t>
            </w:r>
          </w:p>
        </w:tc>
        <w:tc>
          <w:tcPr>
            <w:tcW w:w="1600" w:type="dxa"/>
            <w:tcBorders>
              <w:top w:val="nil"/>
              <w:left w:val="nil"/>
              <w:bottom w:val="single" w:sz="4" w:space="0" w:color="auto"/>
              <w:right w:val="single" w:sz="4" w:space="0" w:color="auto"/>
            </w:tcBorders>
            <w:shd w:val="clear" w:color="auto" w:fill="auto"/>
            <w:noWrap/>
            <w:vAlign w:val="center"/>
            <w:hideMark/>
          </w:tcPr>
          <w:p w14:paraId="7FF4B3F3" w14:textId="77777777" w:rsidR="00AE3169" w:rsidRPr="00AC7B25" w:rsidRDefault="00AE3169" w:rsidP="00AE3169">
            <w:pPr>
              <w:widowControl/>
              <w:jc w:val="right"/>
              <w:rPr>
                <w:rFonts w:ascii="宋体" w:eastAsia="宋体" w:hAnsi="宋体" w:cs="宋体"/>
                <w:color w:val="000000"/>
                <w:kern w:val="0"/>
                <w:sz w:val="20"/>
                <w:szCs w:val="21"/>
              </w:rPr>
            </w:pPr>
            <w:r w:rsidRPr="00B73E36">
              <w:rPr>
                <w:rFonts w:ascii="宋体" w:eastAsia="宋体" w:hAnsi="宋体" w:cs="宋体" w:hint="eastAsia"/>
                <w:color w:val="FF0000"/>
                <w:kern w:val="0"/>
                <w:sz w:val="20"/>
                <w:szCs w:val="21"/>
              </w:rPr>
              <w:t>-43%</w:t>
            </w:r>
          </w:p>
        </w:tc>
        <w:tc>
          <w:tcPr>
            <w:tcW w:w="1600" w:type="dxa"/>
            <w:tcBorders>
              <w:top w:val="nil"/>
              <w:left w:val="nil"/>
              <w:bottom w:val="single" w:sz="4" w:space="0" w:color="auto"/>
              <w:right w:val="single" w:sz="4" w:space="0" w:color="auto"/>
            </w:tcBorders>
            <w:shd w:val="clear" w:color="auto" w:fill="auto"/>
            <w:noWrap/>
            <w:vAlign w:val="center"/>
            <w:hideMark/>
          </w:tcPr>
          <w:p w14:paraId="69A87287"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-47%</w:t>
            </w:r>
          </w:p>
        </w:tc>
      </w:tr>
      <w:tr w:rsidR="00AE3169" w:rsidRPr="00AC7B25" w14:paraId="67E792C3"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407F1FCA"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67F357BB" w14:textId="3C9D7780"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长沙</w:t>
            </w:r>
          </w:p>
        </w:tc>
        <w:tc>
          <w:tcPr>
            <w:tcW w:w="1080" w:type="dxa"/>
            <w:tcBorders>
              <w:top w:val="nil"/>
              <w:left w:val="nil"/>
              <w:bottom w:val="single" w:sz="4" w:space="0" w:color="auto"/>
              <w:right w:val="single" w:sz="4" w:space="0" w:color="auto"/>
            </w:tcBorders>
            <w:shd w:val="clear" w:color="auto" w:fill="auto"/>
            <w:noWrap/>
            <w:vAlign w:val="center"/>
            <w:hideMark/>
          </w:tcPr>
          <w:p w14:paraId="7D79887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19.8</w:t>
            </w:r>
          </w:p>
        </w:tc>
        <w:tc>
          <w:tcPr>
            <w:tcW w:w="1080" w:type="dxa"/>
            <w:tcBorders>
              <w:top w:val="nil"/>
              <w:left w:val="nil"/>
              <w:bottom w:val="single" w:sz="4" w:space="0" w:color="auto"/>
              <w:right w:val="single" w:sz="4" w:space="0" w:color="auto"/>
            </w:tcBorders>
            <w:shd w:val="clear" w:color="auto" w:fill="auto"/>
            <w:noWrap/>
            <w:vAlign w:val="center"/>
            <w:hideMark/>
          </w:tcPr>
          <w:p w14:paraId="3A75D7F0"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81%</w:t>
            </w:r>
          </w:p>
        </w:tc>
        <w:tc>
          <w:tcPr>
            <w:tcW w:w="1600" w:type="dxa"/>
            <w:tcBorders>
              <w:top w:val="nil"/>
              <w:left w:val="nil"/>
              <w:bottom w:val="single" w:sz="4" w:space="0" w:color="auto"/>
              <w:right w:val="single" w:sz="4" w:space="0" w:color="auto"/>
            </w:tcBorders>
            <w:shd w:val="clear" w:color="auto" w:fill="auto"/>
            <w:noWrap/>
            <w:vAlign w:val="center"/>
            <w:hideMark/>
          </w:tcPr>
          <w:p w14:paraId="55E9D26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108%</w:t>
            </w:r>
          </w:p>
        </w:tc>
        <w:tc>
          <w:tcPr>
            <w:tcW w:w="1600" w:type="dxa"/>
            <w:tcBorders>
              <w:top w:val="nil"/>
              <w:left w:val="nil"/>
              <w:bottom w:val="single" w:sz="4" w:space="0" w:color="auto"/>
              <w:right w:val="single" w:sz="4" w:space="0" w:color="auto"/>
            </w:tcBorders>
            <w:shd w:val="clear" w:color="auto" w:fill="auto"/>
            <w:noWrap/>
            <w:vAlign w:val="center"/>
            <w:hideMark/>
          </w:tcPr>
          <w:p w14:paraId="06398673"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-45%</w:t>
            </w:r>
          </w:p>
        </w:tc>
      </w:tr>
      <w:tr w:rsidR="00AE3169" w:rsidRPr="00AC7B25" w14:paraId="56649194"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39F62A64"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33C51938" w14:textId="56BDE58C"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呼和浩特*</w:t>
            </w:r>
          </w:p>
        </w:tc>
        <w:tc>
          <w:tcPr>
            <w:tcW w:w="1080" w:type="dxa"/>
            <w:tcBorders>
              <w:top w:val="nil"/>
              <w:left w:val="nil"/>
              <w:bottom w:val="single" w:sz="4" w:space="0" w:color="auto"/>
              <w:right w:val="single" w:sz="4" w:space="0" w:color="auto"/>
            </w:tcBorders>
            <w:shd w:val="clear" w:color="auto" w:fill="auto"/>
            <w:noWrap/>
            <w:vAlign w:val="center"/>
            <w:hideMark/>
          </w:tcPr>
          <w:p w14:paraId="2B65397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60.6</w:t>
            </w:r>
          </w:p>
        </w:tc>
        <w:tc>
          <w:tcPr>
            <w:tcW w:w="1080" w:type="dxa"/>
            <w:tcBorders>
              <w:top w:val="nil"/>
              <w:left w:val="nil"/>
              <w:bottom w:val="single" w:sz="4" w:space="0" w:color="auto"/>
              <w:right w:val="single" w:sz="4" w:space="0" w:color="auto"/>
            </w:tcBorders>
            <w:shd w:val="clear" w:color="auto" w:fill="auto"/>
            <w:noWrap/>
            <w:vAlign w:val="center"/>
            <w:hideMark/>
          </w:tcPr>
          <w:p w14:paraId="655B101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214%</w:t>
            </w:r>
          </w:p>
        </w:tc>
        <w:tc>
          <w:tcPr>
            <w:tcW w:w="1600" w:type="dxa"/>
            <w:tcBorders>
              <w:top w:val="nil"/>
              <w:left w:val="nil"/>
              <w:bottom w:val="single" w:sz="4" w:space="0" w:color="auto"/>
              <w:right w:val="single" w:sz="4" w:space="0" w:color="auto"/>
            </w:tcBorders>
            <w:shd w:val="clear" w:color="auto" w:fill="auto"/>
            <w:noWrap/>
            <w:vAlign w:val="center"/>
            <w:hideMark/>
          </w:tcPr>
          <w:p w14:paraId="7185AF4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91%</w:t>
            </w:r>
          </w:p>
        </w:tc>
        <w:tc>
          <w:tcPr>
            <w:tcW w:w="1600" w:type="dxa"/>
            <w:tcBorders>
              <w:top w:val="nil"/>
              <w:left w:val="nil"/>
              <w:bottom w:val="single" w:sz="4" w:space="0" w:color="auto"/>
              <w:right w:val="single" w:sz="4" w:space="0" w:color="auto"/>
            </w:tcBorders>
            <w:shd w:val="clear" w:color="auto" w:fill="auto"/>
            <w:noWrap/>
            <w:vAlign w:val="center"/>
            <w:hideMark/>
          </w:tcPr>
          <w:p w14:paraId="30A21DF8"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-38%</w:t>
            </w:r>
          </w:p>
        </w:tc>
      </w:tr>
      <w:tr w:rsidR="00AE3169" w:rsidRPr="00AC7B25" w14:paraId="6DE686D0"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6B31B67A"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6D324CBF" w14:textId="240DB5F6"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海口*</w:t>
            </w:r>
          </w:p>
        </w:tc>
        <w:tc>
          <w:tcPr>
            <w:tcW w:w="1080" w:type="dxa"/>
            <w:tcBorders>
              <w:top w:val="nil"/>
              <w:left w:val="nil"/>
              <w:bottom w:val="single" w:sz="4" w:space="0" w:color="auto"/>
              <w:right w:val="single" w:sz="4" w:space="0" w:color="auto"/>
            </w:tcBorders>
            <w:shd w:val="clear" w:color="auto" w:fill="auto"/>
            <w:noWrap/>
            <w:vAlign w:val="center"/>
            <w:hideMark/>
          </w:tcPr>
          <w:p w14:paraId="3DB720E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19.3</w:t>
            </w:r>
          </w:p>
        </w:tc>
        <w:tc>
          <w:tcPr>
            <w:tcW w:w="1080" w:type="dxa"/>
            <w:tcBorders>
              <w:top w:val="nil"/>
              <w:left w:val="nil"/>
              <w:bottom w:val="single" w:sz="4" w:space="0" w:color="auto"/>
              <w:right w:val="single" w:sz="4" w:space="0" w:color="auto"/>
            </w:tcBorders>
            <w:shd w:val="clear" w:color="auto" w:fill="auto"/>
            <w:noWrap/>
            <w:vAlign w:val="center"/>
            <w:hideMark/>
          </w:tcPr>
          <w:p w14:paraId="35768FA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74%</w:t>
            </w:r>
          </w:p>
        </w:tc>
        <w:tc>
          <w:tcPr>
            <w:tcW w:w="1600" w:type="dxa"/>
            <w:tcBorders>
              <w:top w:val="nil"/>
              <w:left w:val="nil"/>
              <w:bottom w:val="single" w:sz="4" w:space="0" w:color="auto"/>
              <w:right w:val="single" w:sz="4" w:space="0" w:color="auto"/>
            </w:tcBorders>
            <w:shd w:val="clear" w:color="auto" w:fill="auto"/>
            <w:noWrap/>
            <w:vAlign w:val="center"/>
            <w:hideMark/>
          </w:tcPr>
          <w:p w14:paraId="2071703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119%</w:t>
            </w:r>
          </w:p>
        </w:tc>
        <w:tc>
          <w:tcPr>
            <w:tcW w:w="1600" w:type="dxa"/>
            <w:tcBorders>
              <w:top w:val="nil"/>
              <w:left w:val="nil"/>
              <w:bottom w:val="single" w:sz="4" w:space="0" w:color="auto"/>
              <w:right w:val="single" w:sz="4" w:space="0" w:color="auto"/>
            </w:tcBorders>
            <w:shd w:val="clear" w:color="auto" w:fill="auto"/>
            <w:noWrap/>
            <w:vAlign w:val="center"/>
            <w:hideMark/>
          </w:tcPr>
          <w:p w14:paraId="3AEB3F41"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-37%</w:t>
            </w:r>
          </w:p>
        </w:tc>
      </w:tr>
      <w:tr w:rsidR="00AE3169" w:rsidRPr="00AC7B25" w14:paraId="7522BC23"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3FCED079"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7C2095FC" w14:textId="511D8FB1"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宁波</w:t>
            </w:r>
          </w:p>
        </w:tc>
        <w:tc>
          <w:tcPr>
            <w:tcW w:w="1080" w:type="dxa"/>
            <w:tcBorders>
              <w:top w:val="nil"/>
              <w:left w:val="nil"/>
              <w:bottom w:val="single" w:sz="4" w:space="0" w:color="auto"/>
              <w:right w:val="single" w:sz="4" w:space="0" w:color="auto"/>
            </w:tcBorders>
            <w:shd w:val="clear" w:color="auto" w:fill="auto"/>
            <w:noWrap/>
            <w:vAlign w:val="center"/>
            <w:hideMark/>
          </w:tcPr>
          <w:p w14:paraId="0926D13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14.0</w:t>
            </w:r>
          </w:p>
        </w:tc>
        <w:tc>
          <w:tcPr>
            <w:tcW w:w="1080" w:type="dxa"/>
            <w:tcBorders>
              <w:top w:val="nil"/>
              <w:left w:val="nil"/>
              <w:bottom w:val="single" w:sz="4" w:space="0" w:color="auto"/>
              <w:right w:val="single" w:sz="4" w:space="0" w:color="auto"/>
            </w:tcBorders>
            <w:shd w:val="clear" w:color="auto" w:fill="auto"/>
            <w:noWrap/>
            <w:vAlign w:val="center"/>
            <w:hideMark/>
          </w:tcPr>
          <w:p w14:paraId="31342D2D"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114%</w:t>
            </w:r>
          </w:p>
        </w:tc>
        <w:tc>
          <w:tcPr>
            <w:tcW w:w="1600" w:type="dxa"/>
            <w:tcBorders>
              <w:top w:val="nil"/>
              <w:left w:val="nil"/>
              <w:bottom w:val="single" w:sz="4" w:space="0" w:color="auto"/>
              <w:right w:val="single" w:sz="4" w:space="0" w:color="auto"/>
            </w:tcBorders>
            <w:shd w:val="clear" w:color="auto" w:fill="auto"/>
            <w:noWrap/>
            <w:vAlign w:val="center"/>
            <w:hideMark/>
          </w:tcPr>
          <w:p w14:paraId="39B5F22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72%</w:t>
            </w:r>
          </w:p>
        </w:tc>
        <w:tc>
          <w:tcPr>
            <w:tcW w:w="1600" w:type="dxa"/>
            <w:tcBorders>
              <w:top w:val="nil"/>
              <w:left w:val="nil"/>
              <w:bottom w:val="single" w:sz="4" w:space="0" w:color="auto"/>
              <w:right w:val="single" w:sz="4" w:space="0" w:color="auto"/>
            </w:tcBorders>
            <w:shd w:val="clear" w:color="auto" w:fill="auto"/>
            <w:noWrap/>
            <w:vAlign w:val="center"/>
            <w:hideMark/>
          </w:tcPr>
          <w:p w14:paraId="1417EE6E"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-17%</w:t>
            </w:r>
          </w:p>
        </w:tc>
      </w:tr>
      <w:tr w:rsidR="00AE3169" w:rsidRPr="00AC7B25" w14:paraId="6EC93E33"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5098842C"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061376C3" w14:textId="035A29E9"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天津</w:t>
            </w:r>
          </w:p>
        </w:tc>
        <w:tc>
          <w:tcPr>
            <w:tcW w:w="1080" w:type="dxa"/>
            <w:tcBorders>
              <w:top w:val="nil"/>
              <w:left w:val="nil"/>
              <w:bottom w:val="single" w:sz="4" w:space="0" w:color="auto"/>
              <w:right w:val="single" w:sz="4" w:space="0" w:color="auto"/>
            </w:tcBorders>
            <w:shd w:val="clear" w:color="auto" w:fill="auto"/>
            <w:noWrap/>
            <w:vAlign w:val="center"/>
            <w:hideMark/>
          </w:tcPr>
          <w:p w14:paraId="33BFC41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19.7</w:t>
            </w:r>
          </w:p>
        </w:tc>
        <w:tc>
          <w:tcPr>
            <w:tcW w:w="1080" w:type="dxa"/>
            <w:tcBorders>
              <w:top w:val="nil"/>
              <w:left w:val="nil"/>
              <w:bottom w:val="single" w:sz="4" w:space="0" w:color="auto"/>
              <w:right w:val="single" w:sz="4" w:space="0" w:color="auto"/>
            </w:tcBorders>
            <w:shd w:val="clear" w:color="auto" w:fill="auto"/>
            <w:noWrap/>
            <w:vAlign w:val="center"/>
            <w:hideMark/>
          </w:tcPr>
          <w:p w14:paraId="5ED2C1D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43%</w:t>
            </w:r>
          </w:p>
        </w:tc>
        <w:tc>
          <w:tcPr>
            <w:tcW w:w="1600" w:type="dxa"/>
            <w:tcBorders>
              <w:top w:val="nil"/>
              <w:left w:val="nil"/>
              <w:bottom w:val="single" w:sz="4" w:space="0" w:color="auto"/>
              <w:right w:val="single" w:sz="4" w:space="0" w:color="auto"/>
            </w:tcBorders>
            <w:shd w:val="clear" w:color="auto" w:fill="auto"/>
            <w:noWrap/>
            <w:vAlign w:val="center"/>
            <w:hideMark/>
          </w:tcPr>
          <w:p w14:paraId="5662DE8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421%</w:t>
            </w:r>
          </w:p>
        </w:tc>
        <w:tc>
          <w:tcPr>
            <w:tcW w:w="1600" w:type="dxa"/>
            <w:tcBorders>
              <w:top w:val="nil"/>
              <w:left w:val="nil"/>
              <w:bottom w:val="single" w:sz="4" w:space="0" w:color="auto"/>
              <w:right w:val="single" w:sz="4" w:space="0" w:color="auto"/>
            </w:tcBorders>
            <w:shd w:val="clear" w:color="auto" w:fill="auto"/>
            <w:noWrap/>
            <w:vAlign w:val="center"/>
            <w:hideMark/>
          </w:tcPr>
          <w:p w14:paraId="2A00765B"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-17%</w:t>
            </w:r>
          </w:p>
        </w:tc>
      </w:tr>
      <w:tr w:rsidR="00AE3169" w:rsidRPr="00AC7B25" w14:paraId="587429A1"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39640CC2"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4E4A4D69" w14:textId="565F883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苏州*</w:t>
            </w:r>
          </w:p>
        </w:tc>
        <w:tc>
          <w:tcPr>
            <w:tcW w:w="1080" w:type="dxa"/>
            <w:tcBorders>
              <w:top w:val="nil"/>
              <w:left w:val="nil"/>
              <w:bottom w:val="single" w:sz="4" w:space="0" w:color="auto"/>
              <w:right w:val="single" w:sz="4" w:space="0" w:color="auto"/>
            </w:tcBorders>
            <w:shd w:val="clear" w:color="auto" w:fill="auto"/>
            <w:noWrap/>
            <w:vAlign w:val="center"/>
            <w:hideMark/>
          </w:tcPr>
          <w:p w14:paraId="1388944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13.2</w:t>
            </w:r>
          </w:p>
        </w:tc>
        <w:tc>
          <w:tcPr>
            <w:tcW w:w="1080" w:type="dxa"/>
            <w:tcBorders>
              <w:top w:val="nil"/>
              <w:left w:val="nil"/>
              <w:bottom w:val="single" w:sz="4" w:space="0" w:color="auto"/>
              <w:right w:val="single" w:sz="4" w:space="0" w:color="auto"/>
            </w:tcBorders>
            <w:shd w:val="clear" w:color="auto" w:fill="auto"/>
            <w:noWrap/>
            <w:vAlign w:val="center"/>
            <w:hideMark/>
          </w:tcPr>
          <w:p w14:paraId="79AE420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w:t>
            </w:r>
          </w:p>
        </w:tc>
        <w:tc>
          <w:tcPr>
            <w:tcW w:w="1600" w:type="dxa"/>
            <w:tcBorders>
              <w:top w:val="nil"/>
              <w:left w:val="nil"/>
              <w:bottom w:val="single" w:sz="4" w:space="0" w:color="auto"/>
              <w:right w:val="single" w:sz="4" w:space="0" w:color="auto"/>
            </w:tcBorders>
            <w:shd w:val="clear" w:color="auto" w:fill="auto"/>
            <w:noWrap/>
            <w:vAlign w:val="center"/>
            <w:hideMark/>
          </w:tcPr>
          <w:p w14:paraId="2D283AF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66%</w:t>
            </w:r>
          </w:p>
        </w:tc>
        <w:tc>
          <w:tcPr>
            <w:tcW w:w="1600" w:type="dxa"/>
            <w:tcBorders>
              <w:top w:val="nil"/>
              <w:left w:val="nil"/>
              <w:bottom w:val="single" w:sz="4" w:space="0" w:color="auto"/>
              <w:right w:val="single" w:sz="4" w:space="0" w:color="auto"/>
            </w:tcBorders>
            <w:shd w:val="clear" w:color="auto" w:fill="auto"/>
            <w:noWrap/>
            <w:vAlign w:val="center"/>
            <w:hideMark/>
          </w:tcPr>
          <w:p w14:paraId="7B6B24EA"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-16%</w:t>
            </w:r>
          </w:p>
        </w:tc>
      </w:tr>
      <w:tr w:rsidR="00AE3169" w:rsidRPr="00AC7B25" w14:paraId="00929F2C"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7B6DF2A8"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440309D2" w14:textId="0D68CC21"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沈阳*</w:t>
            </w:r>
          </w:p>
        </w:tc>
        <w:tc>
          <w:tcPr>
            <w:tcW w:w="1080" w:type="dxa"/>
            <w:tcBorders>
              <w:top w:val="nil"/>
              <w:left w:val="nil"/>
              <w:bottom w:val="single" w:sz="4" w:space="0" w:color="auto"/>
              <w:right w:val="single" w:sz="4" w:space="0" w:color="auto"/>
            </w:tcBorders>
            <w:shd w:val="clear" w:color="auto" w:fill="auto"/>
            <w:noWrap/>
            <w:vAlign w:val="center"/>
            <w:hideMark/>
          </w:tcPr>
          <w:p w14:paraId="439CA19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32.7</w:t>
            </w:r>
          </w:p>
        </w:tc>
        <w:tc>
          <w:tcPr>
            <w:tcW w:w="1080" w:type="dxa"/>
            <w:tcBorders>
              <w:top w:val="nil"/>
              <w:left w:val="nil"/>
              <w:bottom w:val="single" w:sz="4" w:space="0" w:color="auto"/>
              <w:right w:val="single" w:sz="4" w:space="0" w:color="auto"/>
            </w:tcBorders>
            <w:shd w:val="clear" w:color="auto" w:fill="auto"/>
            <w:noWrap/>
            <w:vAlign w:val="center"/>
            <w:hideMark/>
          </w:tcPr>
          <w:p w14:paraId="6AF10C8D"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51%</w:t>
            </w:r>
          </w:p>
        </w:tc>
        <w:tc>
          <w:tcPr>
            <w:tcW w:w="1600" w:type="dxa"/>
            <w:tcBorders>
              <w:top w:val="nil"/>
              <w:left w:val="nil"/>
              <w:bottom w:val="single" w:sz="4" w:space="0" w:color="auto"/>
              <w:right w:val="single" w:sz="4" w:space="0" w:color="auto"/>
            </w:tcBorders>
            <w:shd w:val="clear" w:color="auto" w:fill="auto"/>
            <w:noWrap/>
            <w:vAlign w:val="center"/>
            <w:hideMark/>
          </w:tcPr>
          <w:p w14:paraId="3C7B7B7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38%</w:t>
            </w:r>
          </w:p>
        </w:tc>
        <w:tc>
          <w:tcPr>
            <w:tcW w:w="1600" w:type="dxa"/>
            <w:tcBorders>
              <w:top w:val="nil"/>
              <w:left w:val="nil"/>
              <w:bottom w:val="single" w:sz="4" w:space="0" w:color="auto"/>
              <w:right w:val="single" w:sz="4" w:space="0" w:color="auto"/>
            </w:tcBorders>
            <w:shd w:val="clear" w:color="auto" w:fill="auto"/>
            <w:noWrap/>
            <w:vAlign w:val="center"/>
            <w:hideMark/>
          </w:tcPr>
          <w:p w14:paraId="683CD3B4"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-8%</w:t>
            </w:r>
          </w:p>
        </w:tc>
      </w:tr>
      <w:tr w:rsidR="00AE3169" w:rsidRPr="00AC7B25" w14:paraId="30CEFF6A"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13F11B5A"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23B3004C" w14:textId="2C539C97"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青岛</w:t>
            </w:r>
          </w:p>
        </w:tc>
        <w:tc>
          <w:tcPr>
            <w:tcW w:w="1080" w:type="dxa"/>
            <w:tcBorders>
              <w:top w:val="nil"/>
              <w:left w:val="nil"/>
              <w:bottom w:val="single" w:sz="4" w:space="0" w:color="auto"/>
              <w:right w:val="single" w:sz="4" w:space="0" w:color="auto"/>
            </w:tcBorders>
            <w:shd w:val="clear" w:color="auto" w:fill="auto"/>
            <w:noWrap/>
            <w:vAlign w:val="center"/>
            <w:hideMark/>
          </w:tcPr>
          <w:p w14:paraId="251F3638"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25.0</w:t>
            </w:r>
          </w:p>
        </w:tc>
        <w:tc>
          <w:tcPr>
            <w:tcW w:w="1080" w:type="dxa"/>
            <w:tcBorders>
              <w:top w:val="nil"/>
              <w:left w:val="nil"/>
              <w:bottom w:val="single" w:sz="4" w:space="0" w:color="auto"/>
              <w:right w:val="single" w:sz="4" w:space="0" w:color="auto"/>
            </w:tcBorders>
            <w:shd w:val="clear" w:color="auto" w:fill="auto"/>
            <w:noWrap/>
            <w:vAlign w:val="center"/>
            <w:hideMark/>
          </w:tcPr>
          <w:p w14:paraId="396FD2E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27%</w:t>
            </w:r>
          </w:p>
        </w:tc>
        <w:tc>
          <w:tcPr>
            <w:tcW w:w="1600" w:type="dxa"/>
            <w:tcBorders>
              <w:top w:val="nil"/>
              <w:left w:val="nil"/>
              <w:bottom w:val="single" w:sz="4" w:space="0" w:color="auto"/>
              <w:right w:val="single" w:sz="4" w:space="0" w:color="auto"/>
            </w:tcBorders>
            <w:shd w:val="clear" w:color="auto" w:fill="auto"/>
            <w:noWrap/>
            <w:vAlign w:val="center"/>
            <w:hideMark/>
          </w:tcPr>
          <w:p w14:paraId="11FBC8B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184%</w:t>
            </w:r>
          </w:p>
        </w:tc>
        <w:tc>
          <w:tcPr>
            <w:tcW w:w="1600" w:type="dxa"/>
            <w:tcBorders>
              <w:top w:val="nil"/>
              <w:left w:val="nil"/>
              <w:bottom w:val="single" w:sz="4" w:space="0" w:color="auto"/>
              <w:right w:val="single" w:sz="4" w:space="0" w:color="auto"/>
            </w:tcBorders>
            <w:shd w:val="clear" w:color="auto" w:fill="auto"/>
            <w:noWrap/>
            <w:vAlign w:val="center"/>
            <w:hideMark/>
          </w:tcPr>
          <w:p w14:paraId="03500B52"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-5%</w:t>
            </w:r>
          </w:p>
        </w:tc>
      </w:tr>
      <w:tr w:rsidR="00AE3169" w:rsidRPr="00AC7B25" w14:paraId="63F87608"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102948F3"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1AE048AE" w14:textId="23213891"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济南</w:t>
            </w:r>
          </w:p>
        </w:tc>
        <w:tc>
          <w:tcPr>
            <w:tcW w:w="1080" w:type="dxa"/>
            <w:tcBorders>
              <w:top w:val="nil"/>
              <w:left w:val="nil"/>
              <w:bottom w:val="single" w:sz="4" w:space="0" w:color="auto"/>
              <w:right w:val="single" w:sz="4" w:space="0" w:color="auto"/>
            </w:tcBorders>
            <w:shd w:val="clear" w:color="auto" w:fill="auto"/>
            <w:noWrap/>
            <w:vAlign w:val="center"/>
            <w:hideMark/>
          </w:tcPr>
          <w:p w14:paraId="2950E9BE" w14:textId="77777777" w:rsidR="00AE3169" w:rsidRPr="00AC7B25" w:rsidRDefault="00AE3169" w:rsidP="00AE3169">
            <w:pPr>
              <w:widowControl/>
              <w:jc w:val="right"/>
              <w:rPr>
                <w:rFonts w:ascii="宋体" w:eastAsia="宋体" w:hAnsi="宋体" w:cs="宋体"/>
                <w:color w:val="000000"/>
                <w:kern w:val="0"/>
                <w:sz w:val="20"/>
                <w:szCs w:val="21"/>
              </w:rPr>
            </w:pPr>
            <w:r w:rsidRPr="00B73E36">
              <w:rPr>
                <w:rFonts w:ascii="宋体" w:eastAsia="宋体" w:hAnsi="宋体" w:cs="宋体" w:hint="eastAsia"/>
                <w:color w:val="0070C0"/>
                <w:kern w:val="0"/>
                <w:sz w:val="20"/>
                <w:szCs w:val="21"/>
              </w:rPr>
              <w:t>6.4</w:t>
            </w:r>
          </w:p>
        </w:tc>
        <w:tc>
          <w:tcPr>
            <w:tcW w:w="1080" w:type="dxa"/>
            <w:tcBorders>
              <w:top w:val="nil"/>
              <w:left w:val="nil"/>
              <w:bottom w:val="single" w:sz="4" w:space="0" w:color="auto"/>
              <w:right w:val="single" w:sz="4" w:space="0" w:color="auto"/>
            </w:tcBorders>
            <w:shd w:val="clear" w:color="auto" w:fill="auto"/>
            <w:noWrap/>
            <w:vAlign w:val="center"/>
            <w:hideMark/>
          </w:tcPr>
          <w:p w14:paraId="2023F02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w:t>
            </w:r>
          </w:p>
        </w:tc>
        <w:tc>
          <w:tcPr>
            <w:tcW w:w="1600" w:type="dxa"/>
            <w:tcBorders>
              <w:top w:val="nil"/>
              <w:left w:val="nil"/>
              <w:bottom w:val="single" w:sz="4" w:space="0" w:color="auto"/>
              <w:right w:val="single" w:sz="4" w:space="0" w:color="auto"/>
            </w:tcBorders>
            <w:shd w:val="clear" w:color="auto" w:fill="auto"/>
            <w:noWrap/>
            <w:vAlign w:val="center"/>
            <w:hideMark/>
          </w:tcPr>
          <w:p w14:paraId="1DC09848"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119%</w:t>
            </w:r>
          </w:p>
        </w:tc>
        <w:tc>
          <w:tcPr>
            <w:tcW w:w="1600" w:type="dxa"/>
            <w:tcBorders>
              <w:top w:val="nil"/>
              <w:left w:val="nil"/>
              <w:bottom w:val="single" w:sz="4" w:space="0" w:color="auto"/>
              <w:right w:val="single" w:sz="4" w:space="0" w:color="auto"/>
            </w:tcBorders>
            <w:shd w:val="clear" w:color="auto" w:fill="auto"/>
            <w:noWrap/>
            <w:vAlign w:val="center"/>
            <w:hideMark/>
          </w:tcPr>
          <w:p w14:paraId="009EB7A9"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-4%</w:t>
            </w:r>
          </w:p>
        </w:tc>
      </w:tr>
      <w:tr w:rsidR="00AE3169" w:rsidRPr="00AC7B25" w14:paraId="58A438BC"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4DD4EE1E"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7CBFD8B3" w14:textId="7A82E7BA"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重庆*</w:t>
            </w:r>
          </w:p>
        </w:tc>
        <w:tc>
          <w:tcPr>
            <w:tcW w:w="1080" w:type="dxa"/>
            <w:tcBorders>
              <w:top w:val="nil"/>
              <w:left w:val="nil"/>
              <w:bottom w:val="single" w:sz="4" w:space="0" w:color="auto"/>
              <w:right w:val="single" w:sz="4" w:space="0" w:color="auto"/>
            </w:tcBorders>
            <w:shd w:val="clear" w:color="auto" w:fill="auto"/>
            <w:noWrap/>
            <w:vAlign w:val="center"/>
            <w:hideMark/>
          </w:tcPr>
          <w:p w14:paraId="66E9492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18.0</w:t>
            </w:r>
          </w:p>
        </w:tc>
        <w:tc>
          <w:tcPr>
            <w:tcW w:w="1080" w:type="dxa"/>
            <w:tcBorders>
              <w:top w:val="nil"/>
              <w:left w:val="nil"/>
              <w:bottom w:val="single" w:sz="4" w:space="0" w:color="auto"/>
              <w:right w:val="single" w:sz="4" w:space="0" w:color="auto"/>
            </w:tcBorders>
            <w:shd w:val="clear" w:color="auto" w:fill="auto"/>
            <w:noWrap/>
            <w:vAlign w:val="center"/>
            <w:hideMark/>
          </w:tcPr>
          <w:p w14:paraId="1EA76BC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260%</w:t>
            </w:r>
          </w:p>
        </w:tc>
        <w:tc>
          <w:tcPr>
            <w:tcW w:w="1600" w:type="dxa"/>
            <w:tcBorders>
              <w:top w:val="nil"/>
              <w:left w:val="nil"/>
              <w:bottom w:val="single" w:sz="4" w:space="0" w:color="auto"/>
              <w:right w:val="single" w:sz="4" w:space="0" w:color="auto"/>
            </w:tcBorders>
            <w:shd w:val="clear" w:color="auto" w:fill="auto"/>
            <w:noWrap/>
            <w:vAlign w:val="center"/>
            <w:hideMark/>
          </w:tcPr>
          <w:p w14:paraId="17DF782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152%</w:t>
            </w:r>
          </w:p>
        </w:tc>
        <w:tc>
          <w:tcPr>
            <w:tcW w:w="1600" w:type="dxa"/>
            <w:tcBorders>
              <w:top w:val="nil"/>
              <w:left w:val="nil"/>
              <w:bottom w:val="single" w:sz="4" w:space="0" w:color="auto"/>
              <w:right w:val="single" w:sz="4" w:space="0" w:color="auto"/>
            </w:tcBorders>
            <w:shd w:val="clear" w:color="auto" w:fill="auto"/>
            <w:noWrap/>
            <w:vAlign w:val="center"/>
            <w:hideMark/>
          </w:tcPr>
          <w:p w14:paraId="73106FF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12%</w:t>
            </w:r>
          </w:p>
        </w:tc>
      </w:tr>
      <w:tr w:rsidR="00AE3169" w:rsidRPr="00AC7B25" w14:paraId="6B14B7DE"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2F21749E"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31838F97" w14:textId="38981DD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福州</w:t>
            </w:r>
          </w:p>
        </w:tc>
        <w:tc>
          <w:tcPr>
            <w:tcW w:w="1080" w:type="dxa"/>
            <w:tcBorders>
              <w:top w:val="nil"/>
              <w:left w:val="nil"/>
              <w:bottom w:val="single" w:sz="4" w:space="0" w:color="auto"/>
              <w:right w:val="single" w:sz="4" w:space="0" w:color="auto"/>
            </w:tcBorders>
            <w:shd w:val="clear" w:color="auto" w:fill="auto"/>
            <w:noWrap/>
            <w:vAlign w:val="center"/>
            <w:hideMark/>
          </w:tcPr>
          <w:p w14:paraId="1F28648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19.6</w:t>
            </w:r>
          </w:p>
        </w:tc>
        <w:tc>
          <w:tcPr>
            <w:tcW w:w="1080" w:type="dxa"/>
            <w:tcBorders>
              <w:top w:val="nil"/>
              <w:left w:val="nil"/>
              <w:bottom w:val="single" w:sz="4" w:space="0" w:color="auto"/>
              <w:right w:val="single" w:sz="4" w:space="0" w:color="auto"/>
            </w:tcBorders>
            <w:shd w:val="clear" w:color="auto" w:fill="auto"/>
            <w:noWrap/>
            <w:vAlign w:val="center"/>
            <w:hideMark/>
          </w:tcPr>
          <w:p w14:paraId="6BA6671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88%</w:t>
            </w:r>
          </w:p>
        </w:tc>
        <w:tc>
          <w:tcPr>
            <w:tcW w:w="1600" w:type="dxa"/>
            <w:tcBorders>
              <w:top w:val="nil"/>
              <w:left w:val="nil"/>
              <w:bottom w:val="single" w:sz="4" w:space="0" w:color="auto"/>
              <w:right w:val="single" w:sz="4" w:space="0" w:color="auto"/>
            </w:tcBorders>
            <w:shd w:val="clear" w:color="auto" w:fill="auto"/>
            <w:noWrap/>
            <w:vAlign w:val="center"/>
            <w:hideMark/>
          </w:tcPr>
          <w:p w14:paraId="69CEA0F8"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172%</w:t>
            </w:r>
          </w:p>
        </w:tc>
        <w:tc>
          <w:tcPr>
            <w:tcW w:w="1600" w:type="dxa"/>
            <w:tcBorders>
              <w:top w:val="nil"/>
              <w:left w:val="nil"/>
              <w:bottom w:val="single" w:sz="4" w:space="0" w:color="auto"/>
              <w:right w:val="single" w:sz="4" w:space="0" w:color="auto"/>
            </w:tcBorders>
            <w:shd w:val="clear" w:color="auto" w:fill="auto"/>
            <w:noWrap/>
            <w:vAlign w:val="center"/>
            <w:hideMark/>
          </w:tcPr>
          <w:p w14:paraId="3702376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21%</w:t>
            </w:r>
          </w:p>
        </w:tc>
      </w:tr>
      <w:tr w:rsidR="00AE3169" w:rsidRPr="00AC7B25" w14:paraId="38D4F5E9"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14DEC21A"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40C91C10" w14:textId="3140AE33"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南京*</w:t>
            </w:r>
          </w:p>
        </w:tc>
        <w:tc>
          <w:tcPr>
            <w:tcW w:w="1080" w:type="dxa"/>
            <w:tcBorders>
              <w:top w:val="nil"/>
              <w:left w:val="nil"/>
              <w:bottom w:val="single" w:sz="4" w:space="0" w:color="auto"/>
              <w:right w:val="single" w:sz="4" w:space="0" w:color="auto"/>
            </w:tcBorders>
            <w:shd w:val="clear" w:color="auto" w:fill="auto"/>
            <w:noWrap/>
            <w:vAlign w:val="center"/>
            <w:hideMark/>
          </w:tcPr>
          <w:p w14:paraId="7E4669A0"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14.7</w:t>
            </w:r>
          </w:p>
        </w:tc>
        <w:tc>
          <w:tcPr>
            <w:tcW w:w="1080" w:type="dxa"/>
            <w:tcBorders>
              <w:top w:val="nil"/>
              <w:left w:val="nil"/>
              <w:bottom w:val="single" w:sz="4" w:space="0" w:color="auto"/>
              <w:right w:val="single" w:sz="4" w:space="0" w:color="auto"/>
            </w:tcBorders>
            <w:shd w:val="clear" w:color="auto" w:fill="auto"/>
            <w:noWrap/>
            <w:vAlign w:val="center"/>
            <w:hideMark/>
          </w:tcPr>
          <w:p w14:paraId="6E4F1AD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60%</w:t>
            </w:r>
          </w:p>
        </w:tc>
        <w:tc>
          <w:tcPr>
            <w:tcW w:w="1600" w:type="dxa"/>
            <w:tcBorders>
              <w:top w:val="nil"/>
              <w:left w:val="nil"/>
              <w:bottom w:val="single" w:sz="4" w:space="0" w:color="auto"/>
              <w:right w:val="single" w:sz="4" w:space="0" w:color="auto"/>
            </w:tcBorders>
            <w:shd w:val="clear" w:color="auto" w:fill="auto"/>
            <w:noWrap/>
            <w:vAlign w:val="center"/>
            <w:hideMark/>
          </w:tcPr>
          <w:p w14:paraId="6BC5330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430%</w:t>
            </w:r>
          </w:p>
        </w:tc>
        <w:tc>
          <w:tcPr>
            <w:tcW w:w="1600" w:type="dxa"/>
            <w:tcBorders>
              <w:top w:val="nil"/>
              <w:left w:val="nil"/>
              <w:bottom w:val="single" w:sz="4" w:space="0" w:color="auto"/>
              <w:right w:val="single" w:sz="4" w:space="0" w:color="auto"/>
            </w:tcBorders>
            <w:shd w:val="clear" w:color="auto" w:fill="auto"/>
            <w:noWrap/>
            <w:vAlign w:val="center"/>
            <w:hideMark/>
          </w:tcPr>
          <w:p w14:paraId="0743385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23%</w:t>
            </w:r>
          </w:p>
        </w:tc>
      </w:tr>
      <w:tr w:rsidR="00AE3169" w:rsidRPr="00AC7B25" w14:paraId="2139CD03"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5CEACE19"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36F188D9" w14:textId="36CD965F"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南昌*</w:t>
            </w:r>
          </w:p>
        </w:tc>
        <w:tc>
          <w:tcPr>
            <w:tcW w:w="1080" w:type="dxa"/>
            <w:tcBorders>
              <w:top w:val="nil"/>
              <w:left w:val="nil"/>
              <w:bottom w:val="single" w:sz="4" w:space="0" w:color="auto"/>
              <w:right w:val="single" w:sz="4" w:space="0" w:color="auto"/>
            </w:tcBorders>
            <w:shd w:val="clear" w:color="auto" w:fill="auto"/>
            <w:noWrap/>
            <w:vAlign w:val="center"/>
            <w:hideMark/>
          </w:tcPr>
          <w:p w14:paraId="6B1BB8A8" w14:textId="77777777" w:rsidR="00AE3169" w:rsidRPr="00AC7B25" w:rsidRDefault="00AE3169" w:rsidP="00AE3169">
            <w:pPr>
              <w:widowControl/>
              <w:jc w:val="right"/>
              <w:rPr>
                <w:rFonts w:ascii="宋体" w:eastAsia="宋体" w:hAnsi="宋体" w:cs="宋体"/>
                <w:color w:val="000000"/>
                <w:kern w:val="0"/>
                <w:sz w:val="20"/>
                <w:szCs w:val="21"/>
              </w:rPr>
            </w:pPr>
            <w:r w:rsidRPr="00DD397B">
              <w:rPr>
                <w:rFonts w:ascii="宋体" w:eastAsia="宋体" w:hAnsi="宋体" w:cs="宋体" w:hint="eastAsia"/>
                <w:color w:val="0070C0"/>
                <w:kern w:val="0"/>
                <w:sz w:val="20"/>
                <w:szCs w:val="21"/>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2187FE58"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19%</w:t>
            </w:r>
          </w:p>
        </w:tc>
        <w:tc>
          <w:tcPr>
            <w:tcW w:w="1600" w:type="dxa"/>
            <w:tcBorders>
              <w:top w:val="nil"/>
              <w:left w:val="nil"/>
              <w:bottom w:val="single" w:sz="4" w:space="0" w:color="auto"/>
              <w:right w:val="single" w:sz="4" w:space="0" w:color="auto"/>
            </w:tcBorders>
            <w:shd w:val="clear" w:color="auto" w:fill="auto"/>
            <w:noWrap/>
            <w:vAlign w:val="center"/>
            <w:hideMark/>
          </w:tcPr>
          <w:p w14:paraId="79352C70"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137%</w:t>
            </w:r>
          </w:p>
        </w:tc>
        <w:tc>
          <w:tcPr>
            <w:tcW w:w="1600" w:type="dxa"/>
            <w:tcBorders>
              <w:top w:val="nil"/>
              <w:left w:val="nil"/>
              <w:bottom w:val="single" w:sz="4" w:space="0" w:color="auto"/>
              <w:right w:val="single" w:sz="4" w:space="0" w:color="auto"/>
            </w:tcBorders>
            <w:shd w:val="clear" w:color="auto" w:fill="auto"/>
            <w:noWrap/>
            <w:vAlign w:val="center"/>
            <w:hideMark/>
          </w:tcPr>
          <w:p w14:paraId="07F6C6E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29%</w:t>
            </w:r>
          </w:p>
        </w:tc>
      </w:tr>
      <w:tr w:rsidR="00AE3169" w:rsidRPr="00AC7B25" w14:paraId="476D345B"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417AA2F0"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18C9A988" w14:textId="2E841EBA"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大连*</w:t>
            </w:r>
          </w:p>
        </w:tc>
        <w:tc>
          <w:tcPr>
            <w:tcW w:w="1080" w:type="dxa"/>
            <w:tcBorders>
              <w:top w:val="nil"/>
              <w:left w:val="nil"/>
              <w:bottom w:val="single" w:sz="4" w:space="0" w:color="auto"/>
              <w:right w:val="single" w:sz="4" w:space="0" w:color="auto"/>
            </w:tcBorders>
            <w:shd w:val="clear" w:color="auto" w:fill="auto"/>
            <w:noWrap/>
            <w:vAlign w:val="center"/>
            <w:hideMark/>
          </w:tcPr>
          <w:p w14:paraId="0B797FC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47.0</w:t>
            </w:r>
          </w:p>
        </w:tc>
        <w:tc>
          <w:tcPr>
            <w:tcW w:w="1080" w:type="dxa"/>
            <w:tcBorders>
              <w:top w:val="nil"/>
              <w:left w:val="nil"/>
              <w:bottom w:val="single" w:sz="4" w:space="0" w:color="auto"/>
              <w:right w:val="single" w:sz="4" w:space="0" w:color="auto"/>
            </w:tcBorders>
            <w:shd w:val="clear" w:color="auto" w:fill="auto"/>
            <w:noWrap/>
            <w:vAlign w:val="center"/>
            <w:hideMark/>
          </w:tcPr>
          <w:p w14:paraId="4F28BA8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63%</w:t>
            </w:r>
          </w:p>
        </w:tc>
        <w:tc>
          <w:tcPr>
            <w:tcW w:w="1600" w:type="dxa"/>
            <w:tcBorders>
              <w:top w:val="nil"/>
              <w:left w:val="nil"/>
              <w:bottom w:val="single" w:sz="4" w:space="0" w:color="auto"/>
              <w:right w:val="single" w:sz="4" w:space="0" w:color="auto"/>
            </w:tcBorders>
            <w:shd w:val="clear" w:color="auto" w:fill="auto"/>
            <w:noWrap/>
            <w:vAlign w:val="center"/>
            <w:hideMark/>
          </w:tcPr>
          <w:p w14:paraId="6889C6A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92%</w:t>
            </w:r>
          </w:p>
        </w:tc>
        <w:tc>
          <w:tcPr>
            <w:tcW w:w="1600" w:type="dxa"/>
            <w:tcBorders>
              <w:top w:val="nil"/>
              <w:left w:val="nil"/>
              <w:bottom w:val="single" w:sz="4" w:space="0" w:color="auto"/>
              <w:right w:val="single" w:sz="4" w:space="0" w:color="auto"/>
            </w:tcBorders>
            <w:shd w:val="clear" w:color="auto" w:fill="auto"/>
            <w:noWrap/>
            <w:vAlign w:val="center"/>
            <w:hideMark/>
          </w:tcPr>
          <w:p w14:paraId="0897ED0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35%</w:t>
            </w:r>
          </w:p>
        </w:tc>
      </w:tr>
      <w:tr w:rsidR="00AE3169" w:rsidRPr="00AC7B25" w14:paraId="07FAEF15"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437E68D7"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6388DB84" w14:textId="754AFBC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成都*</w:t>
            </w:r>
          </w:p>
        </w:tc>
        <w:tc>
          <w:tcPr>
            <w:tcW w:w="1080" w:type="dxa"/>
            <w:tcBorders>
              <w:top w:val="nil"/>
              <w:left w:val="nil"/>
              <w:bottom w:val="single" w:sz="4" w:space="0" w:color="auto"/>
              <w:right w:val="single" w:sz="4" w:space="0" w:color="auto"/>
            </w:tcBorders>
            <w:shd w:val="clear" w:color="auto" w:fill="auto"/>
            <w:noWrap/>
            <w:vAlign w:val="center"/>
            <w:hideMark/>
          </w:tcPr>
          <w:p w14:paraId="145A47E0"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13.3</w:t>
            </w:r>
          </w:p>
        </w:tc>
        <w:tc>
          <w:tcPr>
            <w:tcW w:w="1080" w:type="dxa"/>
            <w:tcBorders>
              <w:top w:val="nil"/>
              <w:left w:val="nil"/>
              <w:bottom w:val="single" w:sz="4" w:space="0" w:color="auto"/>
              <w:right w:val="single" w:sz="4" w:space="0" w:color="auto"/>
            </w:tcBorders>
            <w:shd w:val="clear" w:color="auto" w:fill="auto"/>
            <w:noWrap/>
            <w:vAlign w:val="center"/>
            <w:hideMark/>
          </w:tcPr>
          <w:p w14:paraId="6684059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25%</w:t>
            </w:r>
          </w:p>
        </w:tc>
        <w:tc>
          <w:tcPr>
            <w:tcW w:w="1600" w:type="dxa"/>
            <w:tcBorders>
              <w:top w:val="nil"/>
              <w:left w:val="nil"/>
              <w:bottom w:val="single" w:sz="4" w:space="0" w:color="auto"/>
              <w:right w:val="single" w:sz="4" w:space="0" w:color="auto"/>
            </w:tcBorders>
            <w:shd w:val="clear" w:color="auto" w:fill="auto"/>
            <w:noWrap/>
            <w:vAlign w:val="center"/>
            <w:hideMark/>
          </w:tcPr>
          <w:p w14:paraId="71D7219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160%</w:t>
            </w:r>
          </w:p>
        </w:tc>
        <w:tc>
          <w:tcPr>
            <w:tcW w:w="1600" w:type="dxa"/>
            <w:tcBorders>
              <w:top w:val="nil"/>
              <w:left w:val="nil"/>
              <w:bottom w:val="single" w:sz="4" w:space="0" w:color="auto"/>
              <w:right w:val="single" w:sz="4" w:space="0" w:color="auto"/>
            </w:tcBorders>
            <w:shd w:val="clear" w:color="auto" w:fill="auto"/>
            <w:noWrap/>
            <w:vAlign w:val="center"/>
            <w:hideMark/>
          </w:tcPr>
          <w:p w14:paraId="6530460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42%</w:t>
            </w:r>
          </w:p>
        </w:tc>
      </w:tr>
      <w:tr w:rsidR="00AE3169" w:rsidRPr="00AC7B25" w14:paraId="08CF176A"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40B2B41F"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22B4EBA5" w14:textId="35F5BF6B"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昆明*</w:t>
            </w:r>
          </w:p>
        </w:tc>
        <w:tc>
          <w:tcPr>
            <w:tcW w:w="1080" w:type="dxa"/>
            <w:tcBorders>
              <w:top w:val="nil"/>
              <w:left w:val="nil"/>
              <w:bottom w:val="single" w:sz="4" w:space="0" w:color="auto"/>
              <w:right w:val="single" w:sz="4" w:space="0" w:color="auto"/>
            </w:tcBorders>
            <w:shd w:val="clear" w:color="auto" w:fill="auto"/>
            <w:noWrap/>
            <w:vAlign w:val="center"/>
            <w:hideMark/>
          </w:tcPr>
          <w:p w14:paraId="11C0DF6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22.1</w:t>
            </w:r>
          </w:p>
        </w:tc>
        <w:tc>
          <w:tcPr>
            <w:tcW w:w="1080" w:type="dxa"/>
            <w:tcBorders>
              <w:top w:val="nil"/>
              <w:left w:val="nil"/>
              <w:bottom w:val="single" w:sz="4" w:space="0" w:color="auto"/>
              <w:right w:val="single" w:sz="4" w:space="0" w:color="auto"/>
            </w:tcBorders>
            <w:shd w:val="clear" w:color="auto" w:fill="auto"/>
            <w:noWrap/>
            <w:vAlign w:val="center"/>
            <w:hideMark/>
          </w:tcPr>
          <w:p w14:paraId="2F4635D3"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15%</w:t>
            </w:r>
          </w:p>
        </w:tc>
        <w:tc>
          <w:tcPr>
            <w:tcW w:w="1600" w:type="dxa"/>
            <w:tcBorders>
              <w:top w:val="nil"/>
              <w:left w:val="nil"/>
              <w:bottom w:val="single" w:sz="4" w:space="0" w:color="auto"/>
              <w:right w:val="single" w:sz="4" w:space="0" w:color="auto"/>
            </w:tcBorders>
            <w:shd w:val="clear" w:color="auto" w:fill="auto"/>
            <w:noWrap/>
            <w:vAlign w:val="center"/>
            <w:hideMark/>
          </w:tcPr>
          <w:p w14:paraId="338BB23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131%</w:t>
            </w:r>
          </w:p>
        </w:tc>
        <w:tc>
          <w:tcPr>
            <w:tcW w:w="1600" w:type="dxa"/>
            <w:tcBorders>
              <w:top w:val="nil"/>
              <w:left w:val="nil"/>
              <w:bottom w:val="single" w:sz="4" w:space="0" w:color="auto"/>
              <w:right w:val="single" w:sz="4" w:space="0" w:color="auto"/>
            </w:tcBorders>
            <w:shd w:val="clear" w:color="auto" w:fill="auto"/>
            <w:noWrap/>
            <w:vAlign w:val="center"/>
            <w:hideMark/>
          </w:tcPr>
          <w:p w14:paraId="114114F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51%</w:t>
            </w:r>
          </w:p>
        </w:tc>
      </w:tr>
      <w:tr w:rsidR="00AE3169" w:rsidRPr="00AC7B25" w14:paraId="5E1C3D15"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0BC1E765"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28D6D5C6" w14:textId="07E96E2B"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长春*</w:t>
            </w:r>
          </w:p>
        </w:tc>
        <w:tc>
          <w:tcPr>
            <w:tcW w:w="1080" w:type="dxa"/>
            <w:tcBorders>
              <w:top w:val="nil"/>
              <w:left w:val="nil"/>
              <w:bottom w:val="single" w:sz="4" w:space="0" w:color="auto"/>
              <w:right w:val="single" w:sz="4" w:space="0" w:color="auto"/>
            </w:tcBorders>
            <w:shd w:val="clear" w:color="auto" w:fill="auto"/>
            <w:noWrap/>
            <w:vAlign w:val="center"/>
            <w:hideMark/>
          </w:tcPr>
          <w:p w14:paraId="54D3DCB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35.4</w:t>
            </w:r>
          </w:p>
        </w:tc>
        <w:tc>
          <w:tcPr>
            <w:tcW w:w="1080" w:type="dxa"/>
            <w:tcBorders>
              <w:top w:val="nil"/>
              <w:left w:val="nil"/>
              <w:bottom w:val="single" w:sz="4" w:space="0" w:color="auto"/>
              <w:right w:val="single" w:sz="4" w:space="0" w:color="auto"/>
            </w:tcBorders>
            <w:shd w:val="clear" w:color="auto" w:fill="auto"/>
            <w:noWrap/>
            <w:vAlign w:val="center"/>
            <w:hideMark/>
          </w:tcPr>
          <w:p w14:paraId="5EC7B69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39%</w:t>
            </w:r>
          </w:p>
        </w:tc>
        <w:tc>
          <w:tcPr>
            <w:tcW w:w="1600" w:type="dxa"/>
            <w:tcBorders>
              <w:top w:val="nil"/>
              <w:left w:val="nil"/>
              <w:bottom w:val="single" w:sz="4" w:space="0" w:color="auto"/>
              <w:right w:val="single" w:sz="4" w:space="0" w:color="auto"/>
            </w:tcBorders>
            <w:shd w:val="clear" w:color="auto" w:fill="auto"/>
            <w:noWrap/>
            <w:vAlign w:val="center"/>
            <w:hideMark/>
          </w:tcPr>
          <w:p w14:paraId="2EB3C13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149%</w:t>
            </w:r>
          </w:p>
        </w:tc>
        <w:tc>
          <w:tcPr>
            <w:tcW w:w="1600" w:type="dxa"/>
            <w:tcBorders>
              <w:top w:val="nil"/>
              <w:left w:val="nil"/>
              <w:bottom w:val="single" w:sz="4" w:space="0" w:color="auto"/>
              <w:right w:val="single" w:sz="4" w:space="0" w:color="auto"/>
            </w:tcBorders>
            <w:shd w:val="clear" w:color="auto" w:fill="auto"/>
            <w:noWrap/>
            <w:vAlign w:val="center"/>
            <w:hideMark/>
          </w:tcPr>
          <w:p w14:paraId="4107AA4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61%</w:t>
            </w:r>
          </w:p>
        </w:tc>
      </w:tr>
      <w:tr w:rsidR="00AE3169" w:rsidRPr="00AC7B25" w14:paraId="1B7043AE"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7C603FEB"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13810CCA" w14:textId="67313D8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厦门</w:t>
            </w:r>
          </w:p>
        </w:tc>
        <w:tc>
          <w:tcPr>
            <w:tcW w:w="1080" w:type="dxa"/>
            <w:tcBorders>
              <w:top w:val="nil"/>
              <w:left w:val="nil"/>
              <w:bottom w:val="single" w:sz="4" w:space="0" w:color="auto"/>
              <w:right w:val="single" w:sz="4" w:space="0" w:color="auto"/>
            </w:tcBorders>
            <w:shd w:val="clear" w:color="auto" w:fill="auto"/>
            <w:noWrap/>
            <w:vAlign w:val="center"/>
            <w:hideMark/>
          </w:tcPr>
          <w:p w14:paraId="58D462F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20.0</w:t>
            </w:r>
          </w:p>
        </w:tc>
        <w:tc>
          <w:tcPr>
            <w:tcW w:w="1080" w:type="dxa"/>
            <w:tcBorders>
              <w:top w:val="nil"/>
              <w:left w:val="nil"/>
              <w:bottom w:val="single" w:sz="4" w:space="0" w:color="auto"/>
              <w:right w:val="single" w:sz="4" w:space="0" w:color="auto"/>
            </w:tcBorders>
            <w:shd w:val="clear" w:color="auto" w:fill="auto"/>
            <w:noWrap/>
            <w:vAlign w:val="center"/>
            <w:hideMark/>
          </w:tcPr>
          <w:p w14:paraId="66E4B54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94%</w:t>
            </w:r>
          </w:p>
        </w:tc>
        <w:tc>
          <w:tcPr>
            <w:tcW w:w="1600" w:type="dxa"/>
            <w:tcBorders>
              <w:top w:val="nil"/>
              <w:left w:val="nil"/>
              <w:bottom w:val="single" w:sz="4" w:space="0" w:color="auto"/>
              <w:right w:val="single" w:sz="4" w:space="0" w:color="auto"/>
            </w:tcBorders>
            <w:shd w:val="clear" w:color="auto" w:fill="auto"/>
            <w:noWrap/>
            <w:vAlign w:val="center"/>
            <w:hideMark/>
          </w:tcPr>
          <w:p w14:paraId="6F0B5D0D"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206%</w:t>
            </w:r>
          </w:p>
        </w:tc>
        <w:tc>
          <w:tcPr>
            <w:tcW w:w="1600" w:type="dxa"/>
            <w:tcBorders>
              <w:top w:val="nil"/>
              <w:left w:val="nil"/>
              <w:bottom w:val="single" w:sz="4" w:space="0" w:color="auto"/>
              <w:right w:val="single" w:sz="4" w:space="0" w:color="auto"/>
            </w:tcBorders>
            <w:shd w:val="clear" w:color="auto" w:fill="auto"/>
            <w:noWrap/>
            <w:vAlign w:val="center"/>
            <w:hideMark/>
          </w:tcPr>
          <w:p w14:paraId="21FDAA0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78%</w:t>
            </w:r>
          </w:p>
        </w:tc>
      </w:tr>
      <w:tr w:rsidR="00AE3169" w:rsidRPr="00AC7B25" w14:paraId="1D21AC8F"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3CE13716"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270B2EC5" w14:textId="6B099E88"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郑州</w:t>
            </w:r>
          </w:p>
        </w:tc>
        <w:tc>
          <w:tcPr>
            <w:tcW w:w="1080" w:type="dxa"/>
            <w:tcBorders>
              <w:top w:val="nil"/>
              <w:left w:val="nil"/>
              <w:bottom w:val="single" w:sz="4" w:space="0" w:color="auto"/>
              <w:right w:val="single" w:sz="4" w:space="0" w:color="auto"/>
            </w:tcBorders>
            <w:shd w:val="clear" w:color="auto" w:fill="auto"/>
            <w:noWrap/>
            <w:vAlign w:val="center"/>
            <w:hideMark/>
          </w:tcPr>
          <w:p w14:paraId="730E04F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28.4</w:t>
            </w:r>
          </w:p>
        </w:tc>
        <w:tc>
          <w:tcPr>
            <w:tcW w:w="1080" w:type="dxa"/>
            <w:tcBorders>
              <w:top w:val="nil"/>
              <w:left w:val="nil"/>
              <w:bottom w:val="single" w:sz="4" w:space="0" w:color="auto"/>
              <w:right w:val="single" w:sz="4" w:space="0" w:color="auto"/>
            </w:tcBorders>
            <w:shd w:val="clear" w:color="auto" w:fill="auto"/>
            <w:noWrap/>
            <w:vAlign w:val="center"/>
            <w:hideMark/>
          </w:tcPr>
          <w:p w14:paraId="7BE284C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73%</w:t>
            </w:r>
          </w:p>
        </w:tc>
        <w:tc>
          <w:tcPr>
            <w:tcW w:w="1600" w:type="dxa"/>
            <w:tcBorders>
              <w:top w:val="nil"/>
              <w:left w:val="nil"/>
              <w:bottom w:val="single" w:sz="4" w:space="0" w:color="auto"/>
              <w:right w:val="single" w:sz="4" w:space="0" w:color="auto"/>
            </w:tcBorders>
            <w:shd w:val="clear" w:color="auto" w:fill="auto"/>
            <w:noWrap/>
            <w:vAlign w:val="center"/>
            <w:hideMark/>
          </w:tcPr>
          <w:p w14:paraId="3C0C8D8D"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408%</w:t>
            </w:r>
          </w:p>
        </w:tc>
        <w:tc>
          <w:tcPr>
            <w:tcW w:w="1600" w:type="dxa"/>
            <w:tcBorders>
              <w:top w:val="nil"/>
              <w:left w:val="nil"/>
              <w:bottom w:val="single" w:sz="4" w:space="0" w:color="auto"/>
              <w:right w:val="single" w:sz="4" w:space="0" w:color="auto"/>
            </w:tcBorders>
            <w:shd w:val="clear" w:color="auto" w:fill="auto"/>
            <w:noWrap/>
            <w:vAlign w:val="center"/>
            <w:hideMark/>
          </w:tcPr>
          <w:p w14:paraId="489F2A2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80%</w:t>
            </w:r>
          </w:p>
        </w:tc>
      </w:tr>
      <w:tr w:rsidR="00AE3169" w:rsidRPr="00AC7B25" w14:paraId="67C1852C" w14:textId="77777777" w:rsidTr="00AC7B25">
        <w:trPr>
          <w:trHeight w:val="330"/>
        </w:trPr>
        <w:tc>
          <w:tcPr>
            <w:tcW w:w="1433" w:type="dxa"/>
            <w:vMerge/>
            <w:tcBorders>
              <w:top w:val="nil"/>
              <w:left w:val="single" w:sz="4" w:space="0" w:color="auto"/>
              <w:bottom w:val="single" w:sz="4" w:space="0" w:color="auto"/>
              <w:right w:val="single" w:sz="4" w:space="0" w:color="auto"/>
            </w:tcBorders>
            <w:vAlign w:val="center"/>
            <w:hideMark/>
          </w:tcPr>
          <w:p w14:paraId="2FE5A3DF"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17CC6526" w14:textId="7147D88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南宁*</w:t>
            </w:r>
          </w:p>
        </w:tc>
        <w:tc>
          <w:tcPr>
            <w:tcW w:w="1080" w:type="dxa"/>
            <w:tcBorders>
              <w:top w:val="nil"/>
              <w:left w:val="nil"/>
              <w:bottom w:val="single" w:sz="4" w:space="0" w:color="auto"/>
              <w:right w:val="single" w:sz="4" w:space="0" w:color="auto"/>
            </w:tcBorders>
            <w:shd w:val="clear" w:color="auto" w:fill="auto"/>
            <w:noWrap/>
            <w:vAlign w:val="center"/>
            <w:hideMark/>
          </w:tcPr>
          <w:p w14:paraId="1751330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23.7</w:t>
            </w:r>
          </w:p>
        </w:tc>
        <w:tc>
          <w:tcPr>
            <w:tcW w:w="1080" w:type="dxa"/>
            <w:tcBorders>
              <w:top w:val="nil"/>
              <w:left w:val="nil"/>
              <w:bottom w:val="single" w:sz="4" w:space="0" w:color="auto"/>
              <w:right w:val="single" w:sz="4" w:space="0" w:color="auto"/>
            </w:tcBorders>
            <w:shd w:val="clear" w:color="auto" w:fill="auto"/>
            <w:noWrap/>
            <w:vAlign w:val="center"/>
            <w:hideMark/>
          </w:tcPr>
          <w:p w14:paraId="2120682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49%</w:t>
            </w:r>
          </w:p>
        </w:tc>
        <w:tc>
          <w:tcPr>
            <w:tcW w:w="1600" w:type="dxa"/>
            <w:tcBorders>
              <w:top w:val="nil"/>
              <w:left w:val="nil"/>
              <w:bottom w:val="single" w:sz="4" w:space="0" w:color="auto"/>
              <w:right w:val="single" w:sz="4" w:space="0" w:color="auto"/>
            </w:tcBorders>
            <w:shd w:val="clear" w:color="auto" w:fill="auto"/>
            <w:noWrap/>
            <w:vAlign w:val="center"/>
            <w:hideMark/>
          </w:tcPr>
          <w:p w14:paraId="7349096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289%</w:t>
            </w:r>
          </w:p>
        </w:tc>
        <w:tc>
          <w:tcPr>
            <w:tcW w:w="1600" w:type="dxa"/>
            <w:tcBorders>
              <w:top w:val="nil"/>
              <w:left w:val="nil"/>
              <w:bottom w:val="single" w:sz="4" w:space="0" w:color="auto"/>
              <w:right w:val="single" w:sz="4" w:space="0" w:color="auto"/>
            </w:tcBorders>
            <w:shd w:val="clear" w:color="auto" w:fill="auto"/>
            <w:noWrap/>
            <w:vAlign w:val="center"/>
            <w:hideMark/>
          </w:tcPr>
          <w:p w14:paraId="53FB38D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107%</w:t>
            </w:r>
          </w:p>
        </w:tc>
      </w:tr>
      <w:tr w:rsidR="00AE3169" w:rsidRPr="00AC7B25" w14:paraId="4BDFDD96"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061ED1BD"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6760F096" w14:textId="31207919"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武汉*</w:t>
            </w:r>
          </w:p>
        </w:tc>
        <w:tc>
          <w:tcPr>
            <w:tcW w:w="1080" w:type="dxa"/>
            <w:tcBorders>
              <w:top w:val="nil"/>
              <w:left w:val="nil"/>
              <w:bottom w:val="single" w:sz="4" w:space="0" w:color="auto"/>
              <w:right w:val="single" w:sz="4" w:space="0" w:color="auto"/>
            </w:tcBorders>
            <w:shd w:val="clear" w:color="auto" w:fill="auto"/>
            <w:noWrap/>
            <w:vAlign w:val="center"/>
            <w:hideMark/>
          </w:tcPr>
          <w:p w14:paraId="0CFA9BC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23.6</w:t>
            </w:r>
          </w:p>
        </w:tc>
        <w:tc>
          <w:tcPr>
            <w:tcW w:w="1080" w:type="dxa"/>
            <w:tcBorders>
              <w:top w:val="nil"/>
              <w:left w:val="nil"/>
              <w:bottom w:val="single" w:sz="4" w:space="0" w:color="auto"/>
              <w:right w:val="single" w:sz="4" w:space="0" w:color="auto"/>
            </w:tcBorders>
            <w:shd w:val="clear" w:color="auto" w:fill="auto"/>
            <w:noWrap/>
            <w:vAlign w:val="center"/>
            <w:hideMark/>
          </w:tcPr>
          <w:p w14:paraId="05373A13"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86%</w:t>
            </w:r>
          </w:p>
        </w:tc>
        <w:tc>
          <w:tcPr>
            <w:tcW w:w="1600" w:type="dxa"/>
            <w:tcBorders>
              <w:top w:val="nil"/>
              <w:left w:val="nil"/>
              <w:bottom w:val="single" w:sz="4" w:space="0" w:color="auto"/>
              <w:right w:val="single" w:sz="4" w:space="0" w:color="auto"/>
            </w:tcBorders>
            <w:shd w:val="clear" w:color="auto" w:fill="auto"/>
            <w:noWrap/>
            <w:vAlign w:val="center"/>
            <w:hideMark/>
          </w:tcPr>
          <w:p w14:paraId="32BBAC6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894%</w:t>
            </w:r>
          </w:p>
        </w:tc>
        <w:tc>
          <w:tcPr>
            <w:tcW w:w="1600" w:type="dxa"/>
            <w:tcBorders>
              <w:top w:val="nil"/>
              <w:left w:val="nil"/>
              <w:bottom w:val="single" w:sz="4" w:space="0" w:color="auto"/>
              <w:right w:val="single" w:sz="4" w:space="0" w:color="auto"/>
            </w:tcBorders>
            <w:shd w:val="clear" w:color="auto" w:fill="auto"/>
            <w:noWrap/>
            <w:vAlign w:val="center"/>
            <w:hideMark/>
          </w:tcPr>
          <w:p w14:paraId="64D148B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120%</w:t>
            </w:r>
          </w:p>
        </w:tc>
      </w:tr>
      <w:tr w:rsidR="00AE3169" w:rsidRPr="00AC7B25" w14:paraId="3E89EF38"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6644B169"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7456F4E3" w14:textId="35A795E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兰州*</w:t>
            </w:r>
          </w:p>
        </w:tc>
        <w:tc>
          <w:tcPr>
            <w:tcW w:w="1080" w:type="dxa"/>
            <w:tcBorders>
              <w:top w:val="nil"/>
              <w:left w:val="nil"/>
              <w:bottom w:val="single" w:sz="4" w:space="0" w:color="auto"/>
              <w:right w:val="single" w:sz="4" w:space="0" w:color="auto"/>
            </w:tcBorders>
            <w:shd w:val="clear" w:color="auto" w:fill="auto"/>
            <w:noWrap/>
            <w:vAlign w:val="center"/>
            <w:hideMark/>
          </w:tcPr>
          <w:p w14:paraId="46FDB04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54.8</w:t>
            </w:r>
          </w:p>
        </w:tc>
        <w:tc>
          <w:tcPr>
            <w:tcW w:w="1080" w:type="dxa"/>
            <w:tcBorders>
              <w:top w:val="nil"/>
              <w:left w:val="nil"/>
              <w:bottom w:val="single" w:sz="4" w:space="0" w:color="auto"/>
              <w:right w:val="single" w:sz="4" w:space="0" w:color="auto"/>
            </w:tcBorders>
            <w:shd w:val="clear" w:color="auto" w:fill="auto"/>
            <w:noWrap/>
            <w:vAlign w:val="center"/>
            <w:hideMark/>
          </w:tcPr>
          <w:p w14:paraId="0D61ACA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186%</w:t>
            </w:r>
          </w:p>
        </w:tc>
        <w:tc>
          <w:tcPr>
            <w:tcW w:w="1600" w:type="dxa"/>
            <w:tcBorders>
              <w:top w:val="nil"/>
              <w:left w:val="nil"/>
              <w:bottom w:val="single" w:sz="4" w:space="0" w:color="auto"/>
              <w:right w:val="single" w:sz="4" w:space="0" w:color="auto"/>
            </w:tcBorders>
            <w:shd w:val="clear" w:color="auto" w:fill="auto"/>
            <w:noWrap/>
            <w:vAlign w:val="center"/>
            <w:hideMark/>
          </w:tcPr>
          <w:p w14:paraId="772A4AD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262%</w:t>
            </w:r>
          </w:p>
        </w:tc>
        <w:tc>
          <w:tcPr>
            <w:tcW w:w="1600" w:type="dxa"/>
            <w:tcBorders>
              <w:top w:val="nil"/>
              <w:left w:val="nil"/>
              <w:bottom w:val="single" w:sz="4" w:space="0" w:color="auto"/>
              <w:right w:val="single" w:sz="4" w:space="0" w:color="auto"/>
            </w:tcBorders>
            <w:shd w:val="clear" w:color="auto" w:fill="auto"/>
            <w:noWrap/>
            <w:vAlign w:val="center"/>
            <w:hideMark/>
          </w:tcPr>
          <w:p w14:paraId="2C867D8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343%</w:t>
            </w:r>
          </w:p>
        </w:tc>
      </w:tr>
      <w:tr w:rsidR="00AE3169" w:rsidRPr="00AC7B25" w14:paraId="168F216F" w14:textId="77777777" w:rsidTr="00AC7B25">
        <w:trPr>
          <w:trHeight w:val="285"/>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AB0F02" w14:textId="77777777" w:rsidR="00AE3169" w:rsidRPr="00AC7B25" w:rsidRDefault="00AE3169" w:rsidP="00AE3169">
            <w:pPr>
              <w:widowControl/>
              <w:jc w:val="center"/>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三四线</w:t>
            </w:r>
          </w:p>
        </w:tc>
        <w:tc>
          <w:tcPr>
            <w:tcW w:w="1345" w:type="dxa"/>
            <w:tcBorders>
              <w:top w:val="nil"/>
              <w:left w:val="nil"/>
              <w:bottom w:val="single" w:sz="4" w:space="0" w:color="auto"/>
              <w:right w:val="single" w:sz="4" w:space="0" w:color="auto"/>
            </w:tcBorders>
            <w:shd w:val="clear" w:color="auto" w:fill="auto"/>
            <w:noWrap/>
            <w:vAlign w:val="bottom"/>
            <w:hideMark/>
          </w:tcPr>
          <w:p w14:paraId="596BAD7F" w14:textId="32C019D6"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太仓*</w:t>
            </w:r>
          </w:p>
        </w:tc>
        <w:tc>
          <w:tcPr>
            <w:tcW w:w="1080" w:type="dxa"/>
            <w:tcBorders>
              <w:top w:val="nil"/>
              <w:left w:val="nil"/>
              <w:bottom w:val="single" w:sz="4" w:space="0" w:color="auto"/>
              <w:right w:val="single" w:sz="4" w:space="0" w:color="auto"/>
            </w:tcBorders>
            <w:shd w:val="clear" w:color="auto" w:fill="auto"/>
            <w:noWrap/>
            <w:vAlign w:val="center"/>
            <w:hideMark/>
          </w:tcPr>
          <w:p w14:paraId="12EBBEF3" w14:textId="77777777" w:rsidR="00AE3169" w:rsidRPr="00B73E36" w:rsidRDefault="00AE3169" w:rsidP="00AE3169">
            <w:pPr>
              <w:widowControl/>
              <w:jc w:val="right"/>
              <w:rPr>
                <w:rFonts w:ascii="宋体" w:eastAsia="宋体" w:hAnsi="宋体" w:cs="宋体"/>
                <w:color w:val="0070C0"/>
                <w:kern w:val="0"/>
                <w:sz w:val="20"/>
                <w:szCs w:val="21"/>
              </w:rPr>
            </w:pPr>
            <w:r w:rsidRPr="00B73E36">
              <w:rPr>
                <w:rFonts w:ascii="宋体" w:eastAsia="宋体" w:hAnsi="宋体" w:cs="宋体" w:hint="eastAsia"/>
                <w:color w:val="0070C0"/>
                <w:kern w:val="0"/>
                <w:sz w:val="20"/>
                <w:szCs w:val="21"/>
              </w:rPr>
              <w:t>7.2</w:t>
            </w:r>
          </w:p>
        </w:tc>
        <w:tc>
          <w:tcPr>
            <w:tcW w:w="1080" w:type="dxa"/>
            <w:tcBorders>
              <w:top w:val="nil"/>
              <w:left w:val="nil"/>
              <w:bottom w:val="single" w:sz="4" w:space="0" w:color="auto"/>
              <w:right w:val="single" w:sz="4" w:space="0" w:color="auto"/>
            </w:tcBorders>
            <w:shd w:val="clear" w:color="auto" w:fill="auto"/>
            <w:noWrap/>
            <w:vAlign w:val="center"/>
            <w:hideMark/>
          </w:tcPr>
          <w:p w14:paraId="790933A2" w14:textId="77777777" w:rsidR="00AE3169" w:rsidRPr="00AC7B25" w:rsidRDefault="00AE3169" w:rsidP="00AE3169">
            <w:pPr>
              <w:widowControl/>
              <w:jc w:val="right"/>
              <w:rPr>
                <w:rFonts w:ascii="宋体" w:eastAsia="宋体" w:hAnsi="宋体" w:cs="宋体"/>
                <w:color w:val="000000"/>
                <w:kern w:val="0"/>
                <w:sz w:val="20"/>
                <w:szCs w:val="21"/>
              </w:rPr>
            </w:pPr>
            <w:r w:rsidRPr="00B73E36">
              <w:rPr>
                <w:rFonts w:ascii="宋体" w:eastAsia="宋体" w:hAnsi="宋体" w:cs="宋体" w:hint="eastAsia"/>
                <w:color w:val="FF0000"/>
                <w:kern w:val="0"/>
                <w:sz w:val="20"/>
                <w:szCs w:val="21"/>
              </w:rPr>
              <w:t>-36%</w:t>
            </w:r>
          </w:p>
        </w:tc>
        <w:tc>
          <w:tcPr>
            <w:tcW w:w="1600" w:type="dxa"/>
            <w:tcBorders>
              <w:top w:val="nil"/>
              <w:left w:val="nil"/>
              <w:bottom w:val="single" w:sz="4" w:space="0" w:color="auto"/>
              <w:right w:val="single" w:sz="4" w:space="0" w:color="auto"/>
            </w:tcBorders>
            <w:shd w:val="clear" w:color="auto" w:fill="auto"/>
            <w:noWrap/>
            <w:vAlign w:val="center"/>
            <w:hideMark/>
          </w:tcPr>
          <w:p w14:paraId="710ED95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41%</w:t>
            </w:r>
          </w:p>
        </w:tc>
        <w:tc>
          <w:tcPr>
            <w:tcW w:w="1600" w:type="dxa"/>
            <w:tcBorders>
              <w:top w:val="nil"/>
              <w:left w:val="nil"/>
              <w:bottom w:val="single" w:sz="4" w:space="0" w:color="auto"/>
              <w:right w:val="single" w:sz="4" w:space="0" w:color="auto"/>
            </w:tcBorders>
            <w:shd w:val="clear" w:color="auto" w:fill="auto"/>
            <w:noWrap/>
            <w:vAlign w:val="center"/>
            <w:hideMark/>
          </w:tcPr>
          <w:p w14:paraId="61B5CD3A" w14:textId="3319C34B"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w:t>
            </w:r>
            <w:r>
              <w:rPr>
                <w:rFonts w:ascii="宋体" w:eastAsia="宋体" w:hAnsi="宋体" w:cs="宋体" w:hint="eastAsia"/>
                <w:color w:val="FF0000"/>
                <w:kern w:val="0"/>
                <w:sz w:val="20"/>
                <w:szCs w:val="21"/>
              </w:rPr>
              <w:t>59</w:t>
            </w:r>
            <w:r w:rsidRPr="00E276ED">
              <w:rPr>
                <w:rFonts w:ascii="宋体" w:eastAsia="宋体" w:hAnsi="宋体" w:cs="宋体" w:hint="eastAsia"/>
                <w:color w:val="FF0000"/>
                <w:kern w:val="0"/>
                <w:sz w:val="20"/>
                <w:szCs w:val="21"/>
              </w:rPr>
              <w:t>%</w:t>
            </w:r>
          </w:p>
        </w:tc>
      </w:tr>
      <w:tr w:rsidR="00AE3169" w:rsidRPr="00AC7B25" w14:paraId="21808A39"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0C02605E"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52379CBC" w14:textId="774EA96B"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昆山*</w:t>
            </w:r>
          </w:p>
        </w:tc>
        <w:tc>
          <w:tcPr>
            <w:tcW w:w="1080" w:type="dxa"/>
            <w:tcBorders>
              <w:top w:val="nil"/>
              <w:left w:val="nil"/>
              <w:bottom w:val="single" w:sz="4" w:space="0" w:color="auto"/>
              <w:right w:val="single" w:sz="4" w:space="0" w:color="auto"/>
            </w:tcBorders>
            <w:shd w:val="clear" w:color="auto" w:fill="auto"/>
            <w:noWrap/>
            <w:vAlign w:val="center"/>
            <w:hideMark/>
          </w:tcPr>
          <w:p w14:paraId="3A84C70B" w14:textId="77777777" w:rsidR="00AE3169" w:rsidRPr="00B73E36" w:rsidRDefault="00AE3169" w:rsidP="00AE3169">
            <w:pPr>
              <w:widowControl/>
              <w:jc w:val="right"/>
              <w:rPr>
                <w:rFonts w:ascii="宋体" w:eastAsia="宋体" w:hAnsi="宋体" w:cs="宋体"/>
                <w:color w:val="0070C0"/>
                <w:kern w:val="0"/>
                <w:sz w:val="20"/>
                <w:szCs w:val="21"/>
              </w:rPr>
            </w:pPr>
            <w:r w:rsidRPr="00B73E36">
              <w:rPr>
                <w:rFonts w:ascii="宋体" w:eastAsia="宋体" w:hAnsi="宋体" w:cs="宋体" w:hint="eastAsia"/>
                <w:color w:val="0070C0"/>
                <w:kern w:val="0"/>
                <w:sz w:val="20"/>
                <w:szCs w:val="21"/>
              </w:rPr>
              <w:t>10.3</w:t>
            </w:r>
          </w:p>
        </w:tc>
        <w:tc>
          <w:tcPr>
            <w:tcW w:w="1080" w:type="dxa"/>
            <w:tcBorders>
              <w:top w:val="nil"/>
              <w:left w:val="nil"/>
              <w:bottom w:val="single" w:sz="4" w:space="0" w:color="auto"/>
              <w:right w:val="single" w:sz="4" w:space="0" w:color="auto"/>
            </w:tcBorders>
            <w:shd w:val="clear" w:color="auto" w:fill="auto"/>
            <w:noWrap/>
            <w:vAlign w:val="center"/>
            <w:hideMark/>
          </w:tcPr>
          <w:p w14:paraId="12D4B64F" w14:textId="77777777" w:rsidR="00AE3169" w:rsidRPr="00AC7B25" w:rsidRDefault="00AE3169" w:rsidP="00AE3169">
            <w:pPr>
              <w:widowControl/>
              <w:jc w:val="right"/>
              <w:rPr>
                <w:rFonts w:ascii="宋体" w:eastAsia="宋体" w:hAnsi="宋体" w:cs="宋体"/>
                <w:color w:val="000000"/>
                <w:kern w:val="0"/>
                <w:sz w:val="20"/>
                <w:szCs w:val="21"/>
              </w:rPr>
            </w:pPr>
            <w:r w:rsidRPr="00B73E36">
              <w:rPr>
                <w:rFonts w:ascii="宋体" w:eastAsia="宋体" w:hAnsi="宋体" w:cs="宋体" w:hint="eastAsia"/>
                <w:color w:val="FF0000"/>
                <w:kern w:val="0"/>
                <w:sz w:val="20"/>
                <w:szCs w:val="21"/>
              </w:rPr>
              <w:t>-7%</w:t>
            </w:r>
          </w:p>
        </w:tc>
        <w:tc>
          <w:tcPr>
            <w:tcW w:w="1600" w:type="dxa"/>
            <w:tcBorders>
              <w:top w:val="nil"/>
              <w:left w:val="nil"/>
              <w:bottom w:val="single" w:sz="4" w:space="0" w:color="auto"/>
              <w:right w:val="single" w:sz="4" w:space="0" w:color="auto"/>
            </w:tcBorders>
            <w:shd w:val="clear" w:color="auto" w:fill="auto"/>
            <w:noWrap/>
            <w:vAlign w:val="center"/>
            <w:hideMark/>
          </w:tcPr>
          <w:p w14:paraId="0562A8D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131%</w:t>
            </w:r>
          </w:p>
        </w:tc>
        <w:tc>
          <w:tcPr>
            <w:tcW w:w="1600" w:type="dxa"/>
            <w:tcBorders>
              <w:top w:val="nil"/>
              <w:left w:val="nil"/>
              <w:bottom w:val="single" w:sz="4" w:space="0" w:color="auto"/>
              <w:right w:val="single" w:sz="4" w:space="0" w:color="auto"/>
            </w:tcBorders>
            <w:shd w:val="clear" w:color="auto" w:fill="auto"/>
            <w:noWrap/>
            <w:vAlign w:val="center"/>
            <w:hideMark/>
          </w:tcPr>
          <w:p w14:paraId="34F476DB"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-44%</w:t>
            </w:r>
          </w:p>
        </w:tc>
      </w:tr>
      <w:tr w:rsidR="00AE3169" w:rsidRPr="00AC7B25" w14:paraId="068E5AEE"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5B437E4D"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475148C2" w14:textId="1A73E0E9"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泉州</w:t>
            </w:r>
          </w:p>
        </w:tc>
        <w:tc>
          <w:tcPr>
            <w:tcW w:w="1080" w:type="dxa"/>
            <w:tcBorders>
              <w:top w:val="nil"/>
              <w:left w:val="nil"/>
              <w:bottom w:val="single" w:sz="4" w:space="0" w:color="auto"/>
              <w:right w:val="single" w:sz="4" w:space="0" w:color="auto"/>
            </w:tcBorders>
            <w:shd w:val="clear" w:color="auto" w:fill="auto"/>
            <w:noWrap/>
            <w:vAlign w:val="center"/>
            <w:hideMark/>
          </w:tcPr>
          <w:p w14:paraId="14610CD3" w14:textId="77777777" w:rsidR="00AE3169" w:rsidRPr="00B73E36" w:rsidRDefault="00AE3169" w:rsidP="00AE3169">
            <w:pPr>
              <w:widowControl/>
              <w:jc w:val="right"/>
              <w:rPr>
                <w:rFonts w:ascii="宋体" w:eastAsia="宋体" w:hAnsi="宋体" w:cs="宋体"/>
                <w:color w:val="0070C0"/>
                <w:kern w:val="0"/>
                <w:sz w:val="20"/>
                <w:szCs w:val="21"/>
              </w:rPr>
            </w:pPr>
            <w:r w:rsidRPr="00B73E36">
              <w:rPr>
                <w:rFonts w:ascii="宋体" w:eastAsia="宋体" w:hAnsi="宋体" w:cs="宋体" w:hint="eastAsia"/>
                <w:color w:val="0070C0"/>
                <w:kern w:val="0"/>
                <w:sz w:val="20"/>
                <w:szCs w:val="21"/>
              </w:rPr>
              <w:t>11.7</w:t>
            </w:r>
          </w:p>
        </w:tc>
        <w:tc>
          <w:tcPr>
            <w:tcW w:w="1080" w:type="dxa"/>
            <w:tcBorders>
              <w:top w:val="nil"/>
              <w:left w:val="nil"/>
              <w:bottom w:val="single" w:sz="4" w:space="0" w:color="auto"/>
              <w:right w:val="single" w:sz="4" w:space="0" w:color="auto"/>
            </w:tcBorders>
            <w:shd w:val="clear" w:color="auto" w:fill="auto"/>
            <w:noWrap/>
            <w:vAlign w:val="center"/>
            <w:hideMark/>
          </w:tcPr>
          <w:p w14:paraId="6A35C60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16%</w:t>
            </w:r>
          </w:p>
        </w:tc>
        <w:tc>
          <w:tcPr>
            <w:tcW w:w="1600" w:type="dxa"/>
            <w:tcBorders>
              <w:top w:val="nil"/>
              <w:left w:val="nil"/>
              <w:bottom w:val="single" w:sz="4" w:space="0" w:color="auto"/>
              <w:right w:val="single" w:sz="4" w:space="0" w:color="auto"/>
            </w:tcBorders>
            <w:shd w:val="clear" w:color="auto" w:fill="auto"/>
            <w:noWrap/>
            <w:vAlign w:val="center"/>
            <w:hideMark/>
          </w:tcPr>
          <w:p w14:paraId="2BFAF068" w14:textId="77777777" w:rsidR="00AE3169" w:rsidRPr="00AC7B25" w:rsidRDefault="00AE3169" w:rsidP="00AE3169">
            <w:pPr>
              <w:widowControl/>
              <w:jc w:val="right"/>
              <w:rPr>
                <w:rFonts w:ascii="宋体" w:eastAsia="宋体" w:hAnsi="宋体" w:cs="宋体"/>
                <w:color w:val="000000"/>
                <w:kern w:val="0"/>
                <w:sz w:val="20"/>
                <w:szCs w:val="21"/>
              </w:rPr>
            </w:pPr>
            <w:r w:rsidRPr="00B73E36">
              <w:rPr>
                <w:rFonts w:ascii="宋体" w:eastAsia="宋体" w:hAnsi="宋体" w:cs="宋体" w:hint="eastAsia"/>
                <w:color w:val="FF0000"/>
                <w:kern w:val="0"/>
                <w:sz w:val="20"/>
                <w:szCs w:val="21"/>
              </w:rPr>
              <w:t>-13%</w:t>
            </w:r>
          </w:p>
        </w:tc>
        <w:tc>
          <w:tcPr>
            <w:tcW w:w="1600" w:type="dxa"/>
            <w:tcBorders>
              <w:top w:val="nil"/>
              <w:left w:val="nil"/>
              <w:bottom w:val="single" w:sz="4" w:space="0" w:color="auto"/>
              <w:right w:val="single" w:sz="4" w:space="0" w:color="auto"/>
            </w:tcBorders>
            <w:shd w:val="clear" w:color="auto" w:fill="auto"/>
            <w:noWrap/>
            <w:vAlign w:val="center"/>
            <w:hideMark/>
          </w:tcPr>
          <w:p w14:paraId="54E594E8"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-41%</w:t>
            </w:r>
          </w:p>
        </w:tc>
      </w:tr>
      <w:tr w:rsidR="00AE3169" w:rsidRPr="00AC7B25" w14:paraId="34850956"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1E431D5A"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0FC9C4B7" w14:textId="00630376"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徐州</w:t>
            </w:r>
          </w:p>
        </w:tc>
        <w:tc>
          <w:tcPr>
            <w:tcW w:w="1080" w:type="dxa"/>
            <w:tcBorders>
              <w:top w:val="nil"/>
              <w:left w:val="nil"/>
              <w:bottom w:val="single" w:sz="4" w:space="0" w:color="auto"/>
              <w:right w:val="single" w:sz="4" w:space="0" w:color="auto"/>
            </w:tcBorders>
            <w:shd w:val="clear" w:color="auto" w:fill="auto"/>
            <w:noWrap/>
            <w:vAlign w:val="center"/>
            <w:hideMark/>
          </w:tcPr>
          <w:p w14:paraId="4A8C4ABD"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19.6</w:t>
            </w:r>
          </w:p>
        </w:tc>
        <w:tc>
          <w:tcPr>
            <w:tcW w:w="1080" w:type="dxa"/>
            <w:tcBorders>
              <w:top w:val="nil"/>
              <w:left w:val="nil"/>
              <w:bottom w:val="single" w:sz="4" w:space="0" w:color="auto"/>
              <w:right w:val="single" w:sz="4" w:space="0" w:color="auto"/>
            </w:tcBorders>
            <w:shd w:val="clear" w:color="auto" w:fill="auto"/>
            <w:noWrap/>
            <w:vAlign w:val="center"/>
            <w:hideMark/>
          </w:tcPr>
          <w:p w14:paraId="031C1F9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130%</w:t>
            </w:r>
          </w:p>
        </w:tc>
        <w:tc>
          <w:tcPr>
            <w:tcW w:w="1600" w:type="dxa"/>
            <w:tcBorders>
              <w:top w:val="nil"/>
              <w:left w:val="nil"/>
              <w:bottom w:val="single" w:sz="4" w:space="0" w:color="auto"/>
              <w:right w:val="single" w:sz="4" w:space="0" w:color="auto"/>
            </w:tcBorders>
            <w:shd w:val="clear" w:color="auto" w:fill="auto"/>
            <w:noWrap/>
            <w:vAlign w:val="center"/>
            <w:hideMark/>
          </w:tcPr>
          <w:p w14:paraId="68F478A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120%</w:t>
            </w:r>
          </w:p>
        </w:tc>
        <w:tc>
          <w:tcPr>
            <w:tcW w:w="1600" w:type="dxa"/>
            <w:tcBorders>
              <w:top w:val="nil"/>
              <w:left w:val="nil"/>
              <w:bottom w:val="single" w:sz="4" w:space="0" w:color="auto"/>
              <w:right w:val="single" w:sz="4" w:space="0" w:color="auto"/>
            </w:tcBorders>
            <w:shd w:val="clear" w:color="auto" w:fill="auto"/>
            <w:noWrap/>
            <w:vAlign w:val="center"/>
            <w:hideMark/>
          </w:tcPr>
          <w:p w14:paraId="05C6BE74"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-28%</w:t>
            </w:r>
          </w:p>
        </w:tc>
      </w:tr>
      <w:tr w:rsidR="00AE3169" w:rsidRPr="00AC7B25" w14:paraId="585D89B3"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6EC3EDA0"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6D7FF49B" w14:textId="1AA42228"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南通*</w:t>
            </w:r>
          </w:p>
        </w:tc>
        <w:tc>
          <w:tcPr>
            <w:tcW w:w="1080" w:type="dxa"/>
            <w:tcBorders>
              <w:top w:val="nil"/>
              <w:left w:val="nil"/>
              <w:bottom w:val="single" w:sz="4" w:space="0" w:color="auto"/>
              <w:right w:val="single" w:sz="4" w:space="0" w:color="auto"/>
            </w:tcBorders>
            <w:shd w:val="clear" w:color="auto" w:fill="auto"/>
            <w:noWrap/>
            <w:vAlign w:val="center"/>
            <w:hideMark/>
          </w:tcPr>
          <w:p w14:paraId="60D7C44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19.1</w:t>
            </w:r>
          </w:p>
        </w:tc>
        <w:tc>
          <w:tcPr>
            <w:tcW w:w="1080" w:type="dxa"/>
            <w:tcBorders>
              <w:top w:val="nil"/>
              <w:left w:val="nil"/>
              <w:bottom w:val="single" w:sz="4" w:space="0" w:color="auto"/>
              <w:right w:val="single" w:sz="4" w:space="0" w:color="auto"/>
            </w:tcBorders>
            <w:shd w:val="clear" w:color="auto" w:fill="auto"/>
            <w:noWrap/>
            <w:vAlign w:val="center"/>
            <w:hideMark/>
          </w:tcPr>
          <w:p w14:paraId="5092069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127%</w:t>
            </w:r>
          </w:p>
        </w:tc>
        <w:tc>
          <w:tcPr>
            <w:tcW w:w="1600" w:type="dxa"/>
            <w:tcBorders>
              <w:top w:val="nil"/>
              <w:left w:val="nil"/>
              <w:bottom w:val="single" w:sz="4" w:space="0" w:color="auto"/>
              <w:right w:val="single" w:sz="4" w:space="0" w:color="auto"/>
            </w:tcBorders>
            <w:shd w:val="clear" w:color="auto" w:fill="auto"/>
            <w:noWrap/>
            <w:vAlign w:val="center"/>
            <w:hideMark/>
          </w:tcPr>
          <w:p w14:paraId="0D1412D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175%</w:t>
            </w:r>
          </w:p>
        </w:tc>
        <w:tc>
          <w:tcPr>
            <w:tcW w:w="1600" w:type="dxa"/>
            <w:tcBorders>
              <w:top w:val="nil"/>
              <w:left w:val="nil"/>
              <w:bottom w:val="single" w:sz="4" w:space="0" w:color="auto"/>
              <w:right w:val="single" w:sz="4" w:space="0" w:color="auto"/>
            </w:tcBorders>
            <w:shd w:val="clear" w:color="auto" w:fill="auto"/>
            <w:noWrap/>
            <w:vAlign w:val="center"/>
            <w:hideMark/>
          </w:tcPr>
          <w:p w14:paraId="5624AF15"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-26%</w:t>
            </w:r>
          </w:p>
        </w:tc>
      </w:tr>
      <w:tr w:rsidR="00AE3169" w:rsidRPr="00AC7B25" w14:paraId="215F6D6F"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17788666"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05C8BFE4" w14:textId="2CCF3F50"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江阴*</w:t>
            </w:r>
          </w:p>
        </w:tc>
        <w:tc>
          <w:tcPr>
            <w:tcW w:w="1080" w:type="dxa"/>
            <w:tcBorders>
              <w:top w:val="nil"/>
              <w:left w:val="nil"/>
              <w:bottom w:val="single" w:sz="4" w:space="0" w:color="auto"/>
              <w:right w:val="single" w:sz="4" w:space="0" w:color="auto"/>
            </w:tcBorders>
            <w:shd w:val="clear" w:color="auto" w:fill="auto"/>
            <w:noWrap/>
            <w:vAlign w:val="center"/>
            <w:hideMark/>
          </w:tcPr>
          <w:p w14:paraId="0176303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24.5</w:t>
            </w:r>
          </w:p>
        </w:tc>
        <w:tc>
          <w:tcPr>
            <w:tcW w:w="1080" w:type="dxa"/>
            <w:tcBorders>
              <w:top w:val="nil"/>
              <w:left w:val="nil"/>
              <w:bottom w:val="single" w:sz="4" w:space="0" w:color="auto"/>
              <w:right w:val="single" w:sz="4" w:space="0" w:color="auto"/>
            </w:tcBorders>
            <w:shd w:val="clear" w:color="auto" w:fill="auto"/>
            <w:noWrap/>
            <w:vAlign w:val="center"/>
            <w:hideMark/>
          </w:tcPr>
          <w:p w14:paraId="2E24BC7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52%</w:t>
            </w:r>
          </w:p>
        </w:tc>
        <w:tc>
          <w:tcPr>
            <w:tcW w:w="1600" w:type="dxa"/>
            <w:tcBorders>
              <w:top w:val="nil"/>
              <w:left w:val="nil"/>
              <w:bottom w:val="single" w:sz="4" w:space="0" w:color="auto"/>
              <w:right w:val="single" w:sz="4" w:space="0" w:color="auto"/>
            </w:tcBorders>
            <w:shd w:val="clear" w:color="auto" w:fill="auto"/>
            <w:noWrap/>
            <w:vAlign w:val="center"/>
            <w:hideMark/>
          </w:tcPr>
          <w:p w14:paraId="52601A0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98%</w:t>
            </w:r>
          </w:p>
        </w:tc>
        <w:tc>
          <w:tcPr>
            <w:tcW w:w="1600" w:type="dxa"/>
            <w:tcBorders>
              <w:top w:val="nil"/>
              <w:left w:val="nil"/>
              <w:bottom w:val="single" w:sz="4" w:space="0" w:color="auto"/>
              <w:right w:val="single" w:sz="4" w:space="0" w:color="auto"/>
            </w:tcBorders>
            <w:shd w:val="clear" w:color="auto" w:fill="auto"/>
            <w:noWrap/>
            <w:vAlign w:val="center"/>
            <w:hideMark/>
          </w:tcPr>
          <w:p w14:paraId="4BD40F65"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-24%</w:t>
            </w:r>
          </w:p>
        </w:tc>
      </w:tr>
      <w:tr w:rsidR="00AE3169" w:rsidRPr="00AC7B25" w14:paraId="4EBED712"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64F609B3"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4DDEF1B7" w14:textId="549C1FEF"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晋江</w:t>
            </w:r>
          </w:p>
        </w:tc>
        <w:tc>
          <w:tcPr>
            <w:tcW w:w="1080" w:type="dxa"/>
            <w:tcBorders>
              <w:top w:val="nil"/>
              <w:left w:val="nil"/>
              <w:bottom w:val="single" w:sz="4" w:space="0" w:color="auto"/>
              <w:right w:val="single" w:sz="4" w:space="0" w:color="auto"/>
            </w:tcBorders>
            <w:shd w:val="clear" w:color="auto" w:fill="auto"/>
            <w:noWrap/>
            <w:vAlign w:val="center"/>
            <w:hideMark/>
          </w:tcPr>
          <w:p w14:paraId="7CEBE393"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29.8</w:t>
            </w:r>
          </w:p>
        </w:tc>
        <w:tc>
          <w:tcPr>
            <w:tcW w:w="1080" w:type="dxa"/>
            <w:tcBorders>
              <w:top w:val="nil"/>
              <w:left w:val="nil"/>
              <w:bottom w:val="single" w:sz="4" w:space="0" w:color="auto"/>
              <w:right w:val="single" w:sz="4" w:space="0" w:color="auto"/>
            </w:tcBorders>
            <w:shd w:val="clear" w:color="auto" w:fill="auto"/>
            <w:noWrap/>
            <w:vAlign w:val="center"/>
            <w:hideMark/>
          </w:tcPr>
          <w:p w14:paraId="0086866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323%</w:t>
            </w:r>
          </w:p>
        </w:tc>
        <w:tc>
          <w:tcPr>
            <w:tcW w:w="1600" w:type="dxa"/>
            <w:tcBorders>
              <w:top w:val="nil"/>
              <w:left w:val="nil"/>
              <w:bottom w:val="single" w:sz="4" w:space="0" w:color="auto"/>
              <w:right w:val="single" w:sz="4" w:space="0" w:color="auto"/>
            </w:tcBorders>
            <w:shd w:val="clear" w:color="auto" w:fill="auto"/>
            <w:noWrap/>
            <w:vAlign w:val="center"/>
            <w:hideMark/>
          </w:tcPr>
          <w:p w14:paraId="43DEC49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139%</w:t>
            </w:r>
          </w:p>
        </w:tc>
        <w:tc>
          <w:tcPr>
            <w:tcW w:w="1600" w:type="dxa"/>
            <w:tcBorders>
              <w:top w:val="nil"/>
              <w:left w:val="nil"/>
              <w:bottom w:val="single" w:sz="4" w:space="0" w:color="auto"/>
              <w:right w:val="single" w:sz="4" w:space="0" w:color="auto"/>
            </w:tcBorders>
            <w:shd w:val="clear" w:color="auto" w:fill="auto"/>
            <w:noWrap/>
            <w:vAlign w:val="center"/>
            <w:hideMark/>
          </w:tcPr>
          <w:p w14:paraId="54294813"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-16%</w:t>
            </w:r>
          </w:p>
        </w:tc>
      </w:tr>
      <w:tr w:rsidR="00AE3169" w:rsidRPr="00AC7B25" w14:paraId="241B87B5"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0A4DA309"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5F744D69" w14:textId="08399C6A"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莆田</w:t>
            </w:r>
          </w:p>
        </w:tc>
        <w:tc>
          <w:tcPr>
            <w:tcW w:w="1080" w:type="dxa"/>
            <w:tcBorders>
              <w:top w:val="nil"/>
              <w:left w:val="nil"/>
              <w:bottom w:val="single" w:sz="4" w:space="0" w:color="auto"/>
              <w:right w:val="single" w:sz="4" w:space="0" w:color="auto"/>
            </w:tcBorders>
            <w:shd w:val="clear" w:color="auto" w:fill="auto"/>
            <w:noWrap/>
            <w:vAlign w:val="center"/>
            <w:hideMark/>
          </w:tcPr>
          <w:p w14:paraId="0BCA976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20.1</w:t>
            </w:r>
          </w:p>
        </w:tc>
        <w:tc>
          <w:tcPr>
            <w:tcW w:w="1080" w:type="dxa"/>
            <w:tcBorders>
              <w:top w:val="nil"/>
              <w:left w:val="nil"/>
              <w:bottom w:val="single" w:sz="4" w:space="0" w:color="auto"/>
              <w:right w:val="single" w:sz="4" w:space="0" w:color="auto"/>
            </w:tcBorders>
            <w:shd w:val="clear" w:color="auto" w:fill="auto"/>
            <w:noWrap/>
            <w:vAlign w:val="center"/>
            <w:hideMark/>
          </w:tcPr>
          <w:p w14:paraId="761E1CB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104%</w:t>
            </w:r>
          </w:p>
        </w:tc>
        <w:tc>
          <w:tcPr>
            <w:tcW w:w="1600" w:type="dxa"/>
            <w:tcBorders>
              <w:top w:val="nil"/>
              <w:left w:val="nil"/>
              <w:bottom w:val="single" w:sz="4" w:space="0" w:color="auto"/>
              <w:right w:val="single" w:sz="4" w:space="0" w:color="auto"/>
            </w:tcBorders>
            <w:shd w:val="clear" w:color="auto" w:fill="auto"/>
            <w:noWrap/>
            <w:vAlign w:val="center"/>
            <w:hideMark/>
          </w:tcPr>
          <w:p w14:paraId="7C41307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48%</w:t>
            </w:r>
          </w:p>
        </w:tc>
        <w:tc>
          <w:tcPr>
            <w:tcW w:w="1600" w:type="dxa"/>
            <w:tcBorders>
              <w:top w:val="nil"/>
              <w:left w:val="nil"/>
              <w:bottom w:val="single" w:sz="4" w:space="0" w:color="auto"/>
              <w:right w:val="single" w:sz="4" w:space="0" w:color="auto"/>
            </w:tcBorders>
            <w:shd w:val="clear" w:color="auto" w:fill="auto"/>
            <w:noWrap/>
            <w:vAlign w:val="center"/>
            <w:hideMark/>
          </w:tcPr>
          <w:p w14:paraId="6BEDFD4E"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-11%</w:t>
            </w:r>
          </w:p>
        </w:tc>
      </w:tr>
      <w:tr w:rsidR="00AE3169" w:rsidRPr="00AC7B25" w14:paraId="661A380D"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4F31F3A9"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4A5D6A1E" w14:textId="15FD1C7F"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无锡*</w:t>
            </w:r>
          </w:p>
        </w:tc>
        <w:tc>
          <w:tcPr>
            <w:tcW w:w="1080" w:type="dxa"/>
            <w:tcBorders>
              <w:top w:val="nil"/>
              <w:left w:val="nil"/>
              <w:bottom w:val="single" w:sz="4" w:space="0" w:color="auto"/>
              <w:right w:val="single" w:sz="4" w:space="0" w:color="auto"/>
            </w:tcBorders>
            <w:shd w:val="clear" w:color="auto" w:fill="auto"/>
            <w:noWrap/>
            <w:vAlign w:val="center"/>
            <w:hideMark/>
          </w:tcPr>
          <w:p w14:paraId="7CBCE4ED"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20.6</w:t>
            </w:r>
          </w:p>
        </w:tc>
        <w:tc>
          <w:tcPr>
            <w:tcW w:w="1080" w:type="dxa"/>
            <w:tcBorders>
              <w:top w:val="nil"/>
              <w:left w:val="nil"/>
              <w:bottom w:val="single" w:sz="4" w:space="0" w:color="auto"/>
              <w:right w:val="single" w:sz="4" w:space="0" w:color="auto"/>
            </w:tcBorders>
            <w:shd w:val="clear" w:color="auto" w:fill="auto"/>
            <w:noWrap/>
            <w:vAlign w:val="center"/>
            <w:hideMark/>
          </w:tcPr>
          <w:p w14:paraId="75A744BE"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111%</w:t>
            </w:r>
          </w:p>
        </w:tc>
        <w:tc>
          <w:tcPr>
            <w:tcW w:w="1600" w:type="dxa"/>
            <w:tcBorders>
              <w:top w:val="nil"/>
              <w:left w:val="nil"/>
              <w:bottom w:val="single" w:sz="4" w:space="0" w:color="auto"/>
              <w:right w:val="single" w:sz="4" w:space="0" w:color="auto"/>
            </w:tcBorders>
            <w:shd w:val="clear" w:color="auto" w:fill="auto"/>
            <w:noWrap/>
            <w:vAlign w:val="center"/>
            <w:hideMark/>
          </w:tcPr>
          <w:p w14:paraId="2D05156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214%</w:t>
            </w:r>
          </w:p>
        </w:tc>
        <w:tc>
          <w:tcPr>
            <w:tcW w:w="1600" w:type="dxa"/>
            <w:tcBorders>
              <w:top w:val="nil"/>
              <w:left w:val="nil"/>
              <w:bottom w:val="single" w:sz="4" w:space="0" w:color="auto"/>
              <w:right w:val="single" w:sz="4" w:space="0" w:color="auto"/>
            </w:tcBorders>
            <w:shd w:val="clear" w:color="auto" w:fill="auto"/>
            <w:noWrap/>
            <w:vAlign w:val="center"/>
            <w:hideMark/>
          </w:tcPr>
          <w:p w14:paraId="3712C4F2" w14:textId="77777777" w:rsidR="00AE3169" w:rsidRPr="00E276ED" w:rsidRDefault="00AE3169" w:rsidP="00AE3169">
            <w:pPr>
              <w:widowControl/>
              <w:jc w:val="right"/>
              <w:rPr>
                <w:rFonts w:ascii="宋体" w:eastAsia="宋体" w:hAnsi="宋体" w:cs="宋体"/>
                <w:color w:val="FF0000"/>
                <w:kern w:val="0"/>
                <w:sz w:val="20"/>
                <w:szCs w:val="21"/>
              </w:rPr>
            </w:pPr>
            <w:r w:rsidRPr="00E276ED">
              <w:rPr>
                <w:rFonts w:ascii="宋体" w:eastAsia="宋体" w:hAnsi="宋体" w:cs="宋体" w:hint="eastAsia"/>
                <w:color w:val="FF0000"/>
                <w:kern w:val="0"/>
                <w:sz w:val="20"/>
                <w:szCs w:val="21"/>
              </w:rPr>
              <w:t>-4%</w:t>
            </w:r>
          </w:p>
        </w:tc>
      </w:tr>
      <w:tr w:rsidR="00AE3169" w:rsidRPr="00AC7B25" w14:paraId="141F10D2"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16E53726"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728159E9" w14:textId="307E0797"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汕头*</w:t>
            </w:r>
          </w:p>
        </w:tc>
        <w:tc>
          <w:tcPr>
            <w:tcW w:w="1080" w:type="dxa"/>
            <w:tcBorders>
              <w:top w:val="nil"/>
              <w:left w:val="nil"/>
              <w:bottom w:val="single" w:sz="4" w:space="0" w:color="auto"/>
              <w:right w:val="single" w:sz="4" w:space="0" w:color="auto"/>
            </w:tcBorders>
            <w:shd w:val="clear" w:color="auto" w:fill="auto"/>
            <w:noWrap/>
            <w:vAlign w:val="center"/>
            <w:hideMark/>
          </w:tcPr>
          <w:p w14:paraId="676326D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35.2</w:t>
            </w:r>
          </w:p>
        </w:tc>
        <w:tc>
          <w:tcPr>
            <w:tcW w:w="1080" w:type="dxa"/>
            <w:tcBorders>
              <w:top w:val="nil"/>
              <w:left w:val="nil"/>
              <w:bottom w:val="single" w:sz="4" w:space="0" w:color="auto"/>
              <w:right w:val="single" w:sz="4" w:space="0" w:color="auto"/>
            </w:tcBorders>
            <w:shd w:val="clear" w:color="auto" w:fill="auto"/>
            <w:noWrap/>
            <w:vAlign w:val="center"/>
            <w:hideMark/>
          </w:tcPr>
          <w:p w14:paraId="61D524C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48%</w:t>
            </w:r>
          </w:p>
        </w:tc>
        <w:tc>
          <w:tcPr>
            <w:tcW w:w="1600" w:type="dxa"/>
            <w:tcBorders>
              <w:top w:val="nil"/>
              <w:left w:val="nil"/>
              <w:bottom w:val="single" w:sz="4" w:space="0" w:color="auto"/>
              <w:right w:val="single" w:sz="4" w:space="0" w:color="auto"/>
            </w:tcBorders>
            <w:shd w:val="clear" w:color="auto" w:fill="auto"/>
            <w:noWrap/>
            <w:vAlign w:val="center"/>
            <w:hideMark/>
          </w:tcPr>
          <w:p w14:paraId="48F09BA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97%</w:t>
            </w:r>
          </w:p>
        </w:tc>
        <w:tc>
          <w:tcPr>
            <w:tcW w:w="1600" w:type="dxa"/>
            <w:tcBorders>
              <w:top w:val="nil"/>
              <w:left w:val="nil"/>
              <w:bottom w:val="single" w:sz="4" w:space="0" w:color="auto"/>
              <w:right w:val="single" w:sz="4" w:space="0" w:color="auto"/>
            </w:tcBorders>
            <w:shd w:val="clear" w:color="auto" w:fill="auto"/>
            <w:noWrap/>
            <w:vAlign w:val="center"/>
            <w:hideMark/>
          </w:tcPr>
          <w:p w14:paraId="518FC90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12%</w:t>
            </w:r>
          </w:p>
        </w:tc>
      </w:tr>
      <w:tr w:rsidR="00AE3169" w:rsidRPr="00AC7B25" w14:paraId="739459C0"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06D4F985"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337523C1" w14:textId="0DBC0396"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钦州*</w:t>
            </w:r>
          </w:p>
        </w:tc>
        <w:tc>
          <w:tcPr>
            <w:tcW w:w="1080" w:type="dxa"/>
            <w:tcBorders>
              <w:top w:val="nil"/>
              <w:left w:val="nil"/>
              <w:bottom w:val="single" w:sz="4" w:space="0" w:color="auto"/>
              <w:right w:val="single" w:sz="4" w:space="0" w:color="auto"/>
            </w:tcBorders>
            <w:shd w:val="clear" w:color="auto" w:fill="auto"/>
            <w:noWrap/>
            <w:vAlign w:val="center"/>
            <w:hideMark/>
          </w:tcPr>
          <w:p w14:paraId="2FE9850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28.5</w:t>
            </w:r>
          </w:p>
        </w:tc>
        <w:tc>
          <w:tcPr>
            <w:tcW w:w="1080" w:type="dxa"/>
            <w:tcBorders>
              <w:top w:val="nil"/>
              <w:left w:val="nil"/>
              <w:bottom w:val="single" w:sz="4" w:space="0" w:color="auto"/>
              <w:right w:val="single" w:sz="4" w:space="0" w:color="auto"/>
            </w:tcBorders>
            <w:shd w:val="clear" w:color="auto" w:fill="auto"/>
            <w:noWrap/>
            <w:vAlign w:val="center"/>
            <w:hideMark/>
          </w:tcPr>
          <w:p w14:paraId="2CA1E059" w14:textId="77777777" w:rsidR="00AE3169" w:rsidRPr="00AC7B25" w:rsidRDefault="00AE3169" w:rsidP="00AE3169">
            <w:pPr>
              <w:widowControl/>
              <w:jc w:val="right"/>
              <w:rPr>
                <w:rFonts w:ascii="宋体" w:eastAsia="宋体" w:hAnsi="宋体" w:cs="宋体"/>
                <w:color w:val="000000"/>
                <w:kern w:val="0"/>
                <w:sz w:val="20"/>
                <w:szCs w:val="21"/>
              </w:rPr>
            </w:pPr>
            <w:r w:rsidRPr="00B73E36">
              <w:rPr>
                <w:rFonts w:ascii="宋体" w:eastAsia="宋体" w:hAnsi="宋体" w:cs="宋体" w:hint="eastAsia"/>
                <w:color w:val="FF0000"/>
                <w:kern w:val="0"/>
                <w:sz w:val="20"/>
                <w:szCs w:val="21"/>
              </w:rPr>
              <w:t>-6%</w:t>
            </w:r>
          </w:p>
        </w:tc>
        <w:tc>
          <w:tcPr>
            <w:tcW w:w="1600" w:type="dxa"/>
            <w:tcBorders>
              <w:top w:val="nil"/>
              <w:left w:val="nil"/>
              <w:bottom w:val="single" w:sz="4" w:space="0" w:color="auto"/>
              <w:right w:val="single" w:sz="4" w:space="0" w:color="auto"/>
            </w:tcBorders>
            <w:shd w:val="clear" w:color="auto" w:fill="auto"/>
            <w:noWrap/>
            <w:vAlign w:val="center"/>
            <w:hideMark/>
          </w:tcPr>
          <w:p w14:paraId="592878A4" w14:textId="77777777" w:rsidR="00AE3169" w:rsidRPr="00AC7B25" w:rsidRDefault="00AE3169" w:rsidP="00AE3169">
            <w:pPr>
              <w:widowControl/>
              <w:jc w:val="right"/>
              <w:rPr>
                <w:rFonts w:ascii="宋体" w:eastAsia="宋体" w:hAnsi="宋体" w:cs="宋体"/>
                <w:color w:val="000000"/>
                <w:kern w:val="0"/>
                <w:sz w:val="20"/>
                <w:szCs w:val="21"/>
              </w:rPr>
            </w:pPr>
            <w:r w:rsidRPr="00B73E36">
              <w:rPr>
                <w:rFonts w:ascii="宋体" w:eastAsia="宋体" w:hAnsi="宋体" w:cs="宋体" w:hint="eastAsia"/>
                <w:color w:val="FF0000"/>
                <w:kern w:val="0"/>
                <w:sz w:val="20"/>
                <w:szCs w:val="21"/>
              </w:rPr>
              <w:t>-15%</w:t>
            </w:r>
          </w:p>
        </w:tc>
        <w:tc>
          <w:tcPr>
            <w:tcW w:w="1600" w:type="dxa"/>
            <w:tcBorders>
              <w:top w:val="nil"/>
              <w:left w:val="nil"/>
              <w:bottom w:val="single" w:sz="4" w:space="0" w:color="auto"/>
              <w:right w:val="single" w:sz="4" w:space="0" w:color="auto"/>
            </w:tcBorders>
            <w:shd w:val="clear" w:color="auto" w:fill="auto"/>
            <w:noWrap/>
            <w:vAlign w:val="center"/>
            <w:hideMark/>
          </w:tcPr>
          <w:p w14:paraId="00A9224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25%</w:t>
            </w:r>
          </w:p>
        </w:tc>
      </w:tr>
      <w:tr w:rsidR="00AE3169" w:rsidRPr="00AC7B25" w14:paraId="7D564C78"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1D440CCB"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56AB984B" w14:textId="05BB95E8"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烟台*</w:t>
            </w:r>
          </w:p>
        </w:tc>
        <w:tc>
          <w:tcPr>
            <w:tcW w:w="1080" w:type="dxa"/>
            <w:tcBorders>
              <w:top w:val="nil"/>
              <w:left w:val="nil"/>
              <w:bottom w:val="single" w:sz="4" w:space="0" w:color="auto"/>
              <w:right w:val="single" w:sz="4" w:space="0" w:color="auto"/>
            </w:tcBorders>
            <w:shd w:val="clear" w:color="auto" w:fill="auto"/>
            <w:noWrap/>
            <w:vAlign w:val="center"/>
            <w:hideMark/>
          </w:tcPr>
          <w:p w14:paraId="0FFE593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49.8</w:t>
            </w:r>
          </w:p>
        </w:tc>
        <w:tc>
          <w:tcPr>
            <w:tcW w:w="1080" w:type="dxa"/>
            <w:tcBorders>
              <w:top w:val="nil"/>
              <w:left w:val="nil"/>
              <w:bottom w:val="single" w:sz="4" w:space="0" w:color="auto"/>
              <w:right w:val="single" w:sz="4" w:space="0" w:color="auto"/>
            </w:tcBorders>
            <w:shd w:val="clear" w:color="auto" w:fill="auto"/>
            <w:noWrap/>
            <w:vAlign w:val="center"/>
            <w:hideMark/>
          </w:tcPr>
          <w:p w14:paraId="2BB0DF3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41%</w:t>
            </w:r>
          </w:p>
        </w:tc>
        <w:tc>
          <w:tcPr>
            <w:tcW w:w="1600" w:type="dxa"/>
            <w:tcBorders>
              <w:top w:val="nil"/>
              <w:left w:val="nil"/>
              <w:bottom w:val="single" w:sz="4" w:space="0" w:color="auto"/>
              <w:right w:val="single" w:sz="4" w:space="0" w:color="auto"/>
            </w:tcBorders>
            <w:shd w:val="clear" w:color="auto" w:fill="auto"/>
            <w:noWrap/>
            <w:vAlign w:val="center"/>
            <w:hideMark/>
          </w:tcPr>
          <w:p w14:paraId="3B6FBA63"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101%</w:t>
            </w:r>
          </w:p>
        </w:tc>
        <w:tc>
          <w:tcPr>
            <w:tcW w:w="1600" w:type="dxa"/>
            <w:tcBorders>
              <w:top w:val="nil"/>
              <w:left w:val="nil"/>
              <w:bottom w:val="single" w:sz="4" w:space="0" w:color="auto"/>
              <w:right w:val="single" w:sz="4" w:space="0" w:color="auto"/>
            </w:tcBorders>
            <w:shd w:val="clear" w:color="auto" w:fill="auto"/>
            <w:noWrap/>
            <w:vAlign w:val="center"/>
            <w:hideMark/>
          </w:tcPr>
          <w:p w14:paraId="484E426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30%</w:t>
            </w:r>
          </w:p>
        </w:tc>
      </w:tr>
      <w:tr w:rsidR="00AE3169" w:rsidRPr="00AC7B25" w14:paraId="53571F95"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72C09CBD"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6249F652" w14:textId="2C81087F"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温州</w:t>
            </w:r>
          </w:p>
        </w:tc>
        <w:tc>
          <w:tcPr>
            <w:tcW w:w="1080" w:type="dxa"/>
            <w:tcBorders>
              <w:top w:val="nil"/>
              <w:left w:val="nil"/>
              <w:bottom w:val="single" w:sz="4" w:space="0" w:color="auto"/>
              <w:right w:val="single" w:sz="4" w:space="0" w:color="auto"/>
            </w:tcBorders>
            <w:shd w:val="clear" w:color="auto" w:fill="auto"/>
            <w:noWrap/>
            <w:vAlign w:val="center"/>
            <w:hideMark/>
          </w:tcPr>
          <w:p w14:paraId="4A7B84C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17.3</w:t>
            </w:r>
          </w:p>
        </w:tc>
        <w:tc>
          <w:tcPr>
            <w:tcW w:w="1080" w:type="dxa"/>
            <w:tcBorders>
              <w:top w:val="nil"/>
              <w:left w:val="nil"/>
              <w:bottom w:val="single" w:sz="4" w:space="0" w:color="auto"/>
              <w:right w:val="single" w:sz="4" w:space="0" w:color="auto"/>
            </w:tcBorders>
            <w:shd w:val="clear" w:color="auto" w:fill="auto"/>
            <w:noWrap/>
            <w:vAlign w:val="center"/>
            <w:hideMark/>
          </w:tcPr>
          <w:p w14:paraId="7FA189B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90%</w:t>
            </w:r>
          </w:p>
        </w:tc>
        <w:tc>
          <w:tcPr>
            <w:tcW w:w="1600" w:type="dxa"/>
            <w:tcBorders>
              <w:top w:val="nil"/>
              <w:left w:val="nil"/>
              <w:bottom w:val="single" w:sz="4" w:space="0" w:color="auto"/>
              <w:right w:val="single" w:sz="4" w:space="0" w:color="auto"/>
            </w:tcBorders>
            <w:shd w:val="clear" w:color="auto" w:fill="auto"/>
            <w:noWrap/>
            <w:vAlign w:val="center"/>
            <w:hideMark/>
          </w:tcPr>
          <w:p w14:paraId="732D90B0"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80%</w:t>
            </w:r>
          </w:p>
        </w:tc>
        <w:tc>
          <w:tcPr>
            <w:tcW w:w="1600" w:type="dxa"/>
            <w:tcBorders>
              <w:top w:val="nil"/>
              <w:left w:val="nil"/>
              <w:bottom w:val="single" w:sz="4" w:space="0" w:color="auto"/>
              <w:right w:val="single" w:sz="4" w:space="0" w:color="auto"/>
            </w:tcBorders>
            <w:shd w:val="clear" w:color="auto" w:fill="auto"/>
            <w:noWrap/>
            <w:vAlign w:val="center"/>
            <w:hideMark/>
          </w:tcPr>
          <w:p w14:paraId="3614B45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35%</w:t>
            </w:r>
          </w:p>
        </w:tc>
      </w:tr>
      <w:tr w:rsidR="00AE3169" w:rsidRPr="00AC7B25" w14:paraId="1D91DCAB"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506376E3"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12D4C18D" w14:textId="5A44797F"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佛山*</w:t>
            </w:r>
          </w:p>
        </w:tc>
        <w:tc>
          <w:tcPr>
            <w:tcW w:w="1080" w:type="dxa"/>
            <w:tcBorders>
              <w:top w:val="nil"/>
              <w:left w:val="nil"/>
              <w:bottom w:val="single" w:sz="4" w:space="0" w:color="auto"/>
              <w:right w:val="single" w:sz="4" w:space="0" w:color="auto"/>
            </w:tcBorders>
            <w:shd w:val="clear" w:color="auto" w:fill="auto"/>
            <w:noWrap/>
            <w:vAlign w:val="center"/>
            <w:hideMark/>
          </w:tcPr>
          <w:p w14:paraId="071204F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19.8</w:t>
            </w:r>
          </w:p>
        </w:tc>
        <w:tc>
          <w:tcPr>
            <w:tcW w:w="1080" w:type="dxa"/>
            <w:tcBorders>
              <w:top w:val="nil"/>
              <w:left w:val="nil"/>
              <w:bottom w:val="single" w:sz="4" w:space="0" w:color="auto"/>
              <w:right w:val="single" w:sz="4" w:space="0" w:color="auto"/>
            </w:tcBorders>
            <w:shd w:val="clear" w:color="auto" w:fill="auto"/>
            <w:noWrap/>
            <w:vAlign w:val="center"/>
            <w:hideMark/>
          </w:tcPr>
          <w:p w14:paraId="5954F07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22%</w:t>
            </w:r>
          </w:p>
        </w:tc>
        <w:tc>
          <w:tcPr>
            <w:tcW w:w="1600" w:type="dxa"/>
            <w:tcBorders>
              <w:top w:val="nil"/>
              <w:left w:val="nil"/>
              <w:bottom w:val="single" w:sz="4" w:space="0" w:color="auto"/>
              <w:right w:val="single" w:sz="4" w:space="0" w:color="auto"/>
            </w:tcBorders>
            <w:shd w:val="clear" w:color="auto" w:fill="auto"/>
            <w:noWrap/>
            <w:vAlign w:val="center"/>
            <w:hideMark/>
          </w:tcPr>
          <w:p w14:paraId="2A99C75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139%</w:t>
            </w:r>
          </w:p>
        </w:tc>
        <w:tc>
          <w:tcPr>
            <w:tcW w:w="1600" w:type="dxa"/>
            <w:tcBorders>
              <w:top w:val="nil"/>
              <w:left w:val="nil"/>
              <w:bottom w:val="single" w:sz="4" w:space="0" w:color="auto"/>
              <w:right w:val="single" w:sz="4" w:space="0" w:color="auto"/>
            </w:tcBorders>
            <w:shd w:val="clear" w:color="auto" w:fill="auto"/>
            <w:noWrap/>
            <w:vAlign w:val="center"/>
            <w:hideMark/>
          </w:tcPr>
          <w:p w14:paraId="68805034"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36%</w:t>
            </w:r>
          </w:p>
        </w:tc>
      </w:tr>
      <w:tr w:rsidR="00AE3169" w:rsidRPr="00AC7B25" w14:paraId="55CCBDC2"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7FCB56AC"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36C8FA6C" w14:textId="64D7CB68"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常州*</w:t>
            </w:r>
          </w:p>
        </w:tc>
        <w:tc>
          <w:tcPr>
            <w:tcW w:w="1080" w:type="dxa"/>
            <w:tcBorders>
              <w:top w:val="nil"/>
              <w:left w:val="nil"/>
              <w:bottom w:val="single" w:sz="4" w:space="0" w:color="auto"/>
              <w:right w:val="single" w:sz="4" w:space="0" w:color="auto"/>
            </w:tcBorders>
            <w:shd w:val="clear" w:color="auto" w:fill="auto"/>
            <w:noWrap/>
            <w:vAlign w:val="center"/>
            <w:hideMark/>
          </w:tcPr>
          <w:p w14:paraId="573BD753"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23.1</w:t>
            </w:r>
          </w:p>
        </w:tc>
        <w:tc>
          <w:tcPr>
            <w:tcW w:w="1080" w:type="dxa"/>
            <w:tcBorders>
              <w:top w:val="nil"/>
              <w:left w:val="nil"/>
              <w:bottom w:val="single" w:sz="4" w:space="0" w:color="auto"/>
              <w:right w:val="single" w:sz="4" w:space="0" w:color="auto"/>
            </w:tcBorders>
            <w:shd w:val="clear" w:color="auto" w:fill="auto"/>
            <w:noWrap/>
            <w:vAlign w:val="center"/>
            <w:hideMark/>
          </w:tcPr>
          <w:p w14:paraId="2DC0800B"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159%</w:t>
            </w:r>
          </w:p>
        </w:tc>
        <w:tc>
          <w:tcPr>
            <w:tcW w:w="1600" w:type="dxa"/>
            <w:tcBorders>
              <w:top w:val="nil"/>
              <w:left w:val="nil"/>
              <w:bottom w:val="single" w:sz="4" w:space="0" w:color="auto"/>
              <w:right w:val="single" w:sz="4" w:space="0" w:color="auto"/>
            </w:tcBorders>
            <w:shd w:val="clear" w:color="auto" w:fill="auto"/>
            <w:noWrap/>
            <w:vAlign w:val="center"/>
            <w:hideMark/>
          </w:tcPr>
          <w:p w14:paraId="4CFCE74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507%</w:t>
            </w:r>
          </w:p>
        </w:tc>
        <w:tc>
          <w:tcPr>
            <w:tcW w:w="1600" w:type="dxa"/>
            <w:tcBorders>
              <w:top w:val="nil"/>
              <w:left w:val="nil"/>
              <w:bottom w:val="single" w:sz="4" w:space="0" w:color="auto"/>
              <w:right w:val="single" w:sz="4" w:space="0" w:color="auto"/>
            </w:tcBorders>
            <w:shd w:val="clear" w:color="auto" w:fill="auto"/>
            <w:noWrap/>
            <w:vAlign w:val="center"/>
            <w:hideMark/>
          </w:tcPr>
          <w:p w14:paraId="1D40B0D6"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41%</w:t>
            </w:r>
          </w:p>
        </w:tc>
      </w:tr>
      <w:tr w:rsidR="00AE3169" w:rsidRPr="00AC7B25" w14:paraId="10A2543D"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2A98A846"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3D7C5561" w14:textId="20A7D6C8"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东莞*</w:t>
            </w:r>
          </w:p>
        </w:tc>
        <w:tc>
          <w:tcPr>
            <w:tcW w:w="1080" w:type="dxa"/>
            <w:tcBorders>
              <w:top w:val="nil"/>
              <w:left w:val="nil"/>
              <w:bottom w:val="single" w:sz="4" w:space="0" w:color="auto"/>
              <w:right w:val="single" w:sz="4" w:space="0" w:color="auto"/>
            </w:tcBorders>
            <w:shd w:val="clear" w:color="auto" w:fill="auto"/>
            <w:noWrap/>
            <w:vAlign w:val="center"/>
            <w:hideMark/>
          </w:tcPr>
          <w:p w14:paraId="65E43CC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7FFDB17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71%</w:t>
            </w:r>
          </w:p>
        </w:tc>
        <w:tc>
          <w:tcPr>
            <w:tcW w:w="1600" w:type="dxa"/>
            <w:tcBorders>
              <w:top w:val="nil"/>
              <w:left w:val="nil"/>
              <w:bottom w:val="single" w:sz="4" w:space="0" w:color="auto"/>
              <w:right w:val="single" w:sz="4" w:space="0" w:color="auto"/>
            </w:tcBorders>
            <w:shd w:val="clear" w:color="auto" w:fill="auto"/>
            <w:noWrap/>
            <w:vAlign w:val="center"/>
            <w:hideMark/>
          </w:tcPr>
          <w:p w14:paraId="428EA52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214%</w:t>
            </w:r>
          </w:p>
        </w:tc>
        <w:tc>
          <w:tcPr>
            <w:tcW w:w="1600" w:type="dxa"/>
            <w:tcBorders>
              <w:top w:val="nil"/>
              <w:left w:val="nil"/>
              <w:bottom w:val="single" w:sz="4" w:space="0" w:color="auto"/>
              <w:right w:val="single" w:sz="4" w:space="0" w:color="auto"/>
            </w:tcBorders>
            <w:shd w:val="clear" w:color="auto" w:fill="auto"/>
            <w:noWrap/>
            <w:vAlign w:val="center"/>
            <w:hideMark/>
          </w:tcPr>
          <w:p w14:paraId="7563CC5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52%</w:t>
            </w:r>
          </w:p>
        </w:tc>
      </w:tr>
      <w:tr w:rsidR="00AE3169" w:rsidRPr="00AC7B25" w14:paraId="043BB657"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3E865199"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41F51F37" w14:textId="0691A402"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宜兴*</w:t>
            </w:r>
          </w:p>
        </w:tc>
        <w:tc>
          <w:tcPr>
            <w:tcW w:w="1080" w:type="dxa"/>
            <w:tcBorders>
              <w:top w:val="nil"/>
              <w:left w:val="nil"/>
              <w:bottom w:val="single" w:sz="4" w:space="0" w:color="auto"/>
              <w:right w:val="single" w:sz="4" w:space="0" w:color="auto"/>
            </w:tcBorders>
            <w:shd w:val="clear" w:color="auto" w:fill="auto"/>
            <w:noWrap/>
            <w:vAlign w:val="center"/>
            <w:hideMark/>
          </w:tcPr>
          <w:p w14:paraId="73BB698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82.7</w:t>
            </w:r>
          </w:p>
        </w:tc>
        <w:tc>
          <w:tcPr>
            <w:tcW w:w="1080" w:type="dxa"/>
            <w:tcBorders>
              <w:top w:val="nil"/>
              <w:left w:val="nil"/>
              <w:bottom w:val="single" w:sz="4" w:space="0" w:color="auto"/>
              <w:right w:val="single" w:sz="4" w:space="0" w:color="auto"/>
            </w:tcBorders>
            <w:shd w:val="clear" w:color="auto" w:fill="auto"/>
            <w:noWrap/>
            <w:vAlign w:val="center"/>
            <w:hideMark/>
          </w:tcPr>
          <w:p w14:paraId="77CB629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244%</w:t>
            </w:r>
          </w:p>
        </w:tc>
        <w:tc>
          <w:tcPr>
            <w:tcW w:w="1600" w:type="dxa"/>
            <w:tcBorders>
              <w:top w:val="nil"/>
              <w:left w:val="nil"/>
              <w:bottom w:val="single" w:sz="4" w:space="0" w:color="auto"/>
              <w:right w:val="single" w:sz="4" w:space="0" w:color="auto"/>
            </w:tcBorders>
            <w:shd w:val="clear" w:color="auto" w:fill="auto"/>
            <w:noWrap/>
            <w:vAlign w:val="center"/>
            <w:hideMark/>
          </w:tcPr>
          <w:p w14:paraId="5092F853"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217%</w:t>
            </w:r>
          </w:p>
        </w:tc>
        <w:tc>
          <w:tcPr>
            <w:tcW w:w="1600" w:type="dxa"/>
            <w:tcBorders>
              <w:top w:val="nil"/>
              <w:left w:val="nil"/>
              <w:bottom w:val="single" w:sz="4" w:space="0" w:color="auto"/>
              <w:right w:val="single" w:sz="4" w:space="0" w:color="auto"/>
            </w:tcBorders>
            <w:shd w:val="clear" w:color="auto" w:fill="auto"/>
            <w:noWrap/>
            <w:vAlign w:val="center"/>
            <w:hideMark/>
          </w:tcPr>
          <w:p w14:paraId="314D798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55%</w:t>
            </w:r>
          </w:p>
        </w:tc>
      </w:tr>
      <w:tr w:rsidR="00AE3169" w:rsidRPr="00AC7B25" w14:paraId="6427BFEF"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01CEE4FA"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7932F53A" w14:textId="691E4AD5"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九江*</w:t>
            </w:r>
          </w:p>
        </w:tc>
        <w:tc>
          <w:tcPr>
            <w:tcW w:w="1080" w:type="dxa"/>
            <w:tcBorders>
              <w:top w:val="nil"/>
              <w:left w:val="nil"/>
              <w:bottom w:val="single" w:sz="4" w:space="0" w:color="auto"/>
              <w:right w:val="single" w:sz="4" w:space="0" w:color="auto"/>
            </w:tcBorders>
            <w:shd w:val="clear" w:color="auto" w:fill="auto"/>
            <w:noWrap/>
            <w:vAlign w:val="center"/>
            <w:hideMark/>
          </w:tcPr>
          <w:p w14:paraId="32F6AAE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18.3</w:t>
            </w:r>
          </w:p>
        </w:tc>
        <w:tc>
          <w:tcPr>
            <w:tcW w:w="1080" w:type="dxa"/>
            <w:tcBorders>
              <w:top w:val="nil"/>
              <w:left w:val="nil"/>
              <w:bottom w:val="single" w:sz="4" w:space="0" w:color="auto"/>
              <w:right w:val="single" w:sz="4" w:space="0" w:color="auto"/>
            </w:tcBorders>
            <w:shd w:val="clear" w:color="auto" w:fill="auto"/>
            <w:noWrap/>
            <w:vAlign w:val="center"/>
            <w:hideMark/>
          </w:tcPr>
          <w:p w14:paraId="3C085CC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207%</w:t>
            </w:r>
          </w:p>
        </w:tc>
        <w:tc>
          <w:tcPr>
            <w:tcW w:w="1600" w:type="dxa"/>
            <w:tcBorders>
              <w:top w:val="nil"/>
              <w:left w:val="nil"/>
              <w:bottom w:val="single" w:sz="4" w:space="0" w:color="auto"/>
              <w:right w:val="single" w:sz="4" w:space="0" w:color="auto"/>
            </w:tcBorders>
            <w:shd w:val="clear" w:color="auto" w:fill="auto"/>
            <w:noWrap/>
            <w:vAlign w:val="center"/>
            <w:hideMark/>
          </w:tcPr>
          <w:p w14:paraId="27DC22D9"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207%</w:t>
            </w:r>
          </w:p>
        </w:tc>
        <w:tc>
          <w:tcPr>
            <w:tcW w:w="1600" w:type="dxa"/>
            <w:tcBorders>
              <w:top w:val="nil"/>
              <w:left w:val="nil"/>
              <w:bottom w:val="single" w:sz="4" w:space="0" w:color="auto"/>
              <w:right w:val="single" w:sz="4" w:space="0" w:color="auto"/>
            </w:tcBorders>
            <w:shd w:val="clear" w:color="auto" w:fill="auto"/>
            <w:noWrap/>
            <w:vAlign w:val="center"/>
            <w:hideMark/>
          </w:tcPr>
          <w:p w14:paraId="4331AF88"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79%</w:t>
            </w:r>
          </w:p>
        </w:tc>
      </w:tr>
      <w:tr w:rsidR="00AE3169" w:rsidRPr="00AC7B25" w14:paraId="0FA78544"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63FB1142"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31D1FE39" w14:textId="406A62AE"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洛阳</w:t>
            </w:r>
          </w:p>
        </w:tc>
        <w:tc>
          <w:tcPr>
            <w:tcW w:w="1080" w:type="dxa"/>
            <w:tcBorders>
              <w:top w:val="nil"/>
              <w:left w:val="nil"/>
              <w:bottom w:val="single" w:sz="4" w:space="0" w:color="auto"/>
              <w:right w:val="single" w:sz="4" w:space="0" w:color="auto"/>
            </w:tcBorders>
            <w:shd w:val="clear" w:color="auto" w:fill="auto"/>
            <w:noWrap/>
            <w:vAlign w:val="center"/>
            <w:hideMark/>
          </w:tcPr>
          <w:p w14:paraId="6012A41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27.9</w:t>
            </w:r>
          </w:p>
        </w:tc>
        <w:tc>
          <w:tcPr>
            <w:tcW w:w="1080" w:type="dxa"/>
            <w:tcBorders>
              <w:top w:val="nil"/>
              <w:left w:val="nil"/>
              <w:bottom w:val="single" w:sz="4" w:space="0" w:color="auto"/>
              <w:right w:val="single" w:sz="4" w:space="0" w:color="auto"/>
            </w:tcBorders>
            <w:shd w:val="clear" w:color="auto" w:fill="auto"/>
            <w:noWrap/>
            <w:vAlign w:val="center"/>
            <w:hideMark/>
          </w:tcPr>
          <w:p w14:paraId="462E59A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15%</w:t>
            </w:r>
          </w:p>
        </w:tc>
        <w:tc>
          <w:tcPr>
            <w:tcW w:w="1600" w:type="dxa"/>
            <w:tcBorders>
              <w:top w:val="nil"/>
              <w:left w:val="nil"/>
              <w:bottom w:val="single" w:sz="4" w:space="0" w:color="auto"/>
              <w:right w:val="single" w:sz="4" w:space="0" w:color="auto"/>
            </w:tcBorders>
            <w:shd w:val="clear" w:color="auto" w:fill="auto"/>
            <w:noWrap/>
            <w:vAlign w:val="center"/>
            <w:hideMark/>
          </w:tcPr>
          <w:p w14:paraId="7B323E3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274%</w:t>
            </w:r>
          </w:p>
        </w:tc>
        <w:tc>
          <w:tcPr>
            <w:tcW w:w="1600" w:type="dxa"/>
            <w:tcBorders>
              <w:top w:val="nil"/>
              <w:left w:val="nil"/>
              <w:bottom w:val="single" w:sz="4" w:space="0" w:color="auto"/>
              <w:right w:val="single" w:sz="4" w:space="0" w:color="auto"/>
            </w:tcBorders>
            <w:shd w:val="clear" w:color="auto" w:fill="auto"/>
            <w:noWrap/>
            <w:vAlign w:val="center"/>
            <w:hideMark/>
          </w:tcPr>
          <w:p w14:paraId="5188FEE5"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258%</w:t>
            </w:r>
          </w:p>
        </w:tc>
      </w:tr>
      <w:tr w:rsidR="00AE3169" w:rsidRPr="00AC7B25" w14:paraId="335CB631"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28B02EA9"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09FAE2A3" w14:textId="7C78416D"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芜湖</w:t>
            </w:r>
          </w:p>
        </w:tc>
        <w:tc>
          <w:tcPr>
            <w:tcW w:w="1080" w:type="dxa"/>
            <w:tcBorders>
              <w:top w:val="nil"/>
              <w:left w:val="nil"/>
              <w:bottom w:val="single" w:sz="4" w:space="0" w:color="auto"/>
              <w:right w:val="single" w:sz="4" w:space="0" w:color="auto"/>
            </w:tcBorders>
            <w:shd w:val="clear" w:color="auto" w:fill="auto"/>
            <w:noWrap/>
            <w:vAlign w:val="center"/>
            <w:hideMark/>
          </w:tcPr>
          <w:p w14:paraId="78D54780"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22.6</w:t>
            </w:r>
          </w:p>
        </w:tc>
        <w:tc>
          <w:tcPr>
            <w:tcW w:w="1080" w:type="dxa"/>
            <w:tcBorders>
              <w:top w:val="nil"/>
              <w:left w:val="nil"/>
              <w:bottom w:val="single" w:sz="4" w:space="0" w:color="auto"/>
              <w:right w:val="single" w:sz="4" w:space="0" w:color="auto"/>
            </w:tcBorders>
            <w:shd w:val="clear" w:color="auto" w:fill="auto"/>
            <w:noWrap/>
            <w:vAlign w:val="center"/>
            <w:hideMark/>
          </w:tcPr>
          <w:p w14:paraId="2924F3DC"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224%</w:t>
            </w:r>
          </w:p>
        </w:tc>
        <w:tc>
          <w:tcPr>
            <w:tcW w:w="1600" w:type="dxa"/>
            <w:tcBorders>
              <w:top w:val="nil"/>
              <w:left w:val="nil"/>
              <w:bottom w:val="single" w:sz="4" w:space="0" w:color="auto"/>
              <w:right w:val="single" w:sz="4" w:space="0" w:color="auto"/>
            </w:tcBorders>
            <w:shd w:val="clear" w:color="auto" w:fill="auto"/>
            <w:noWrap/>
            <w:vAlign w:val="center"/>
            <w:hideMark/>
          </w:tcPr>
          <w:p w14:paraId="09AC0A3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348%</w:t>
            </w:r>
          </w:p>
        </w:tc>
        <w:tc>
          <w:tcPr>
            <w:tcW w:w="1600" w:type="dxa"/>
            <w:tcBorders>
              <w:top w:val="nil"/>
              <w:left w:val="nil"/>
              <w:bottom w:val="single" w:sz="4" w:space="0" w:color="auto"/>
              <w:right w:val="single" w:sz="4" w:space="0" w:color="auto"/>
            </w:tcBorders>
            <w:shd w:val="clear" w:color="auto" w:fill="auto"/>
            <w:noWrap/>
            <w:vAlign w:val="center"/>
            <w:hideMark/>
          </w:tcPr>
          <w:p w14:paraId="28111B9A"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397%</w:t>
            </w:r>
          </w:p>
        </w:tc>
      </w:tr>
      <w:tr w:rsidR="00AE3169" w:rsidRPr="00AC7B25" w14:paraId="76EA3FBC" w14:textId="77777777" w:rsidTr="00AC7B25">
        <w:trPr>
          <w:trHeight w:val="285"/>
        </w:trPr>
        <w:tc>
          <w:tcPr>
            <w:tcW w:w="1433" w:type="dxa"/>
            <w:vMerge/>
            <w:tcBorders>
              <w:top w:val="nil"/>
              <w:left w:val="single" w:sz="4" w:space="0" w:color="auto"/>
              <w:bottom w:val="single" w:sz="4" w:space="0" w:color="auto"/>
              <w:right w:val="single" w:sz="4" w:space="0" w:color="auto"/>
            </w:tcBorders>
            <w:vAlign w:val="center"/>
            <w:hideMark/>
          </w:tcPr>
          <w:p w14:paraId="06C64813" w14:textId="77777777" w:rsidR="00AE3169" w:rsidRPr="00AC7B25" w:rsidRDefault="00AE3169" w:rsidP="00AE3169">
            <w:pPr>
              <w:widowControl/>
              <w:jc w:val="left"/>
              <w:rPr>
                <w:rFonts w:ascii="宋体" w:eastAsia="宋体" w:hAnsi="宋体" w:cs="宋体"/>
                <w:color w:val="000000"/>
                <w:kern w:val="0"/>
                <w:sz w:val="20"/>
                <w:szCs w:val="21"/>
              </w:rPr>
            </w:pPr>
          </w:p>
        </w:tc>
        <w:tc>
          <w:tcPr>
            <w:tcW w:w="1345" w:type="dxa"/>
            <w:tcBorders>
              <w:top w:val="nil"/>
              <w:left w:val="nil"/>
              <w:bottom w:val="single" w:sz="4" w:space="0" w:color="auto"/>
              <w:right w:val="single" w:sz="4" w:space="0" w:color="auto"/>
            </w:tcBorders>
            <w:shd w:val="clear" w:color="auto" w:fill="auto"/>
            <w:noWrap/>
            <w:vAlign w:val="bottom"/>
            <w:hideMark/>
          </w:tcPr>
          <w:p w14:paraId="7FC7C54F" w14:textId="4D52DCD4" w:rsidR="00AE3169" w:rsidRPr="00AE3169" w:rsidRDefault="00AE3169" w:rsidP="00AE3169">
            <w:pPr>
              <w:widowControl/>
              <w:jc w:val="left"/>
              <w:rPr>
                <w:rFonts w:ascii="宋体" w:eastAsia="宋体" w:hAnsi="宋体" w:cs="宋体"/>
                <w:color w:val="000000"/>
                <w:kern w:val="0"/>
                <w:sz w:val="20"/>
                <w:szCs w:val="20"/>
              </w:rPr>
            </w:pPr>
            <w:r w:rsidRPr="00AE3169">
              <w:rPr>
                <w:rFonts w:ascii="宋体" w:eastAsia="宋体" w:hAnsi="宋体" w:hint="eastAsia"/>
                <w:color w:val="000000"/>
                <w:sz w:val="20"/>
                <w:szCs w:val="20"/>
              </w:rPr>
              <w:t>北海*</w:t>
            </w:r>
          </w:p>
        </w:tc>
        <w:tc>
          <w:tcPr>
            <w:tcW w:w="1080" w:type="dxa"/>
            <w:tcBorders>
              <w:top w:val="nil"/>
              <w:left w:val="nil"/>
              <w:bottom w:val="single" w:sz="4" w:space="0" w:color="auto"/>
              <w:right w:val="single" w:sz="4" w:space="0" w:color="auto"/>
            </w:tcBorders>
            <w:shd w:val="clear" w:color="auto" w:fill="auto"/>
            <w:noWrap/>
            <w:vAlign w:val="center"/>
            <w:hideMark/>
          </w:tcPr>
          <w:p w14:paraId="2DE961AF"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68.9</w:t>
            </w:r>
          </w:p>
        </w:tc>
        <w:tc>
          <w:tcPr>
            <w:tcW w:w="1080" w:type="dxa"/>
            <w:tcBorders>
              <w:top w:val="nil"/>
              <w:left w:val="nil"/>
              <w:bottom w:val="single" w:sz="4" w:space="0" w:color="auto"/>
              <w:right w:val="single" w:sz="4" w:space="0" w:color="auto"/>
            </w:tcBorders>
            <w:shd w:val="clear" w:color="auto" w:fill="auto"/>
            <w:noWrap/>
            <w:vAlign w:val="center"/>
            <w:hideMark/>
          </w:tcPr>
          <w:p w14:paraId="6D554552"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114%</w:t>
            </w:r>
          </w:p>
        </w:tc>
        <w:tc>
          <w:tcPr>
            <w:tcW w:w="1600" w:type="dxa"/>
            <w:tcBorders>
              <w:top w:val="nil"/>
              <w:left w:val="nil"/>
              <w:bottom w:val="single" w:sz="4" w:space="0" w:color="auto"/>
              <w:right w:val="single" w:sz="4" w:space="0" w:color="auto"/>
            </w:tcBorders>
            <w:shd w:val="clear" w:color="auto" w:fill="auto"/>
            <w:noWrap/>
            <w:vAlign w:val="center"/>
            <w:hideMark/>
          </w:tcPr>
          <w:p w14:paraId="7B515751"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273%</w:t>
            </w:r>
          </w:p>
        </w:tc>
        <w:tc>
          <w:tcPr>
            <w:tcW w:w="1600" w:type="dxa"/>
            <w:tcBorders>
              <w:top w:val="nil"/>
              <w:left w:val="nil"/>
              <w:bottom w:val="single" w:sz="4" w:space="0" w:color="auto"/>
              <w:right w:val="single" w:sz="4" w:space="0" w:color="auto"/>
            </w:tcBorders>
            <w:shd w:val="clear" w:color="auto" w:fill="auto"/>
            <w:noWrap/>
            <w:vAlign w:val="center"/>
            <w:hideMark/>
          </w:tcPr>
          <w:p w14:paraId="7A8FBA47" w14:textId="77777777" w:rsidR="00AE3169" w:rsidRPr="00AC7B25" w:rsidRDefault="00AE3169" w:rsidP="00AE3169">
            <w:pPr>
              <w:widowControl/>
              <w:jc w:val="right"/>
              <w:rPr>
                <w:rFonts w:ascii="宋体" w:eastAsia="宋体" w:hAnsi="宋体" w:cs="宋体"/>
                <w:color w:val="000000"/>
                <w:kern w:val="0"/>
                <w:sz w:val="20"/>
                <w:szCs w:val="21"/>
              </w:rPr>
            </w:pPr>
            <w:r w:rsidRPr="00AC7B25">
              <w:rPr>
                <w:rFonts w:ascii="宋体" w:eastAsia="宋体" w:hAnsi="宋体" w:cs="宋体" w:hint="eastAsia"/>
                <w:color w:val="000000"/>
                <w:kern w:val="0"/>
                <w:sz w:val="20"/>
                <w:szCs w:val="21"/>
              </w:rPr>
              <w:t>721%</w:t>
            </w:r>
          </w:p>
        </w:tc>
      </w:tr>
    </w:tbl>
    <w:p w14:paraId="51C2E417" w14:textId="0B67726D" w:rsidR="00AE3169" w:rsidRPr="00AE3169" w:rsidRDefault="00AE3169" w:rsidP="00AE3169">
      <w:pPr>
        <w:pStyle w:val="01"/>
        <w:spacing w:line="240" w:lineRule="auto"/>
        <w:ind w:left="420" w:firstLine="400"/>
        <w:rPr>
          <w:sz w:val="18"/>
          <w:szCs w:val="24"/>
        </w:rPr>
      </w:pPr>
      <w:r w:rsidRPr="001D1F06">
        <w:rPr>
          <w:rFonts w:hint="eastAsia"/>
          <w:sz w:val="20"/>
          <w:szCs w:val="21"/>
        </w:rPr>
        <w:t>注：带*城市狭义库存及相关统计数据包含酒店式公寓</w:t>
      </w:r>
    </w:p>
    <w:p w14:paraId="06A8CE28" w14:textId="7EE5D254" w:rsidR="00376503" w:rsidRDefault="00376503" w:rsidP="00376503">
      <w:pPr>
        <w:pStyle w:val="13"/>
        <w:spacing w:line="240" w:lineRule="auto"/>
        <w:ind w:firstLineChars="200" w:firstLine="360"/>
        <w:jc w:val="right"/>
        <w:rPr>
          <w:rFonts w:ascii="宋体" w:eastAsia="宋体" w:hAnsi="宋体"/>
          <w:sz w:val="18"/>
          <w:szCs w:val="24"/>
        </w:rPr>
      </w:pPr>
      <w:r w:rsidRPr="0033172E">
        <w:rPr>
          <w:rFonts w:ascii="宋体" w:eastAsia="宋体" w:hAnsi="宋体" w:hint="eastAsia"/>
          <w:sz w:val="18"/>
          <w:szCs w:val="24"/>
        </w:rPr>
        <w:t>数据来源：</w:t>
      </w:r>
      <w:r>
        <w:rPr>
          <w:rFonts w:ascii="宋体" w:eastAsia="宋体" w:hAnsi="宋体" w:hint="eastAsia"/>
          <w:sz w:val="18"/>
          <w:szCs w:val="24"/>
        </w:rPr>
        <w:t>CRIC</w:t>
      </w:r>
    </w:p>
    <w:p w14:paraId="69FEB235" w14:textId="63B07358" w:rsidR="006F726B" w:rsidRPr="007B572D" w:rsidRDefault="006F726B" w:rsidP="00B44D37">
      <w:pPr>
        <w:pStyle w:val="00"/>
      </w:pPr>
      <w:bookmarkStart w:id="31" w:name="_Toc128583529"/>
      <w:r>
        <w:rPr>
          <w:rFonts w:hint="eastAsia"/>
        </w:rPr>
        <w:t>2，</w:t>
      </w:r>
      <w:r w:rsidR="00505531">
        <w:rPr>
          <w:rFonts w:hint="eastAsia"/>
        </w:rPr>
        <w:t>2022</w:t>
      </w:r>
      <w:r w:rsidR="0031176B">
        <w:rPr>
          <w:rFonts w:hint="eastAsia"/>
        </w:rPr>
        <w:t>年广义</w:t>
      </w:r>
      <w:r w:rsidR="00505531">
        <w:rPr>
          <w:rFonts w:hint="eastAsia"/>
        </w:rPr>
        <w:t>消化周期骤增66%，</w:t>
      </w:r>
      <w:r w:rsidR="0031176B" w:rsidRPr="0031176B">
        <w:rPr>
          <w:rFonts w:hint="eastAsia"/>
        </w:rPr>
        <w:t>仅四市广义消化周期低于</w:t>
      </w:r>
      <w:r w:rsidR="0031176B" w:rsidRPr="0031176B">
        <w:t>3</w:t>
      </w:r>
      <w:r w:rsidR="0031176B">
        <w:rPr>
          <w:rFonts w:hint="eastAsia"/>
        </w:rPr>
        <w:t>年</w:t>
      </w:r>
      <w:bookmarkEnd w:id="31"/>
    </w:p>
    <w:p w14:paraId="6B0797A2" w14:textId="6F2379F0" w:rsidR="006F726B" w:rsidRDefault="007A67E8" w:rsidP="007A67E8">
      <w:pPr>
        <w:pStyle w:val="01"/>
      </w:pPr>
      <w:r w:rsidRPr="007A67E8">
        <w:rPr>
          <w:rFonts w:hint="eastAsia"/>
        </w:rPr>
        <w:t>就近年来</w:t>
      </w:r>
      <w:r w:rsidR="0031176B">
        <w:rPr>
          <w:rFonts w:hint="eastAsia"/>
        </w:rPr>
        <w:t>住宅</w:t>
      </w:r>
      <w:r w:rsidRPr="007A67E8">
        <w:rPr>
          <w:rFonts w:hint="eastAsia"/>
        </w:rPr>
        <w:t>广义</w:t>
      </w:r>
      <w:r w:rsidR="0031176B">
        <w:rPr>
          <w:rFonts w:hint="eastAsia"/>
        </w:rPr>
        <w:t>库存</w:t>
      </w:r>
      <w:r w:rsidRPr="007A67E8">
        <w:rPr>
          <w:rFonts w:hint="eastAsia"/>
        </w:rPr>
        <w:t>消化周期</w:t>
      </w:r>
      <w:r w:rsidR="0031176B">
        <w:rPr>
          <w:rFonts w:hint="eastAsia"/>
        </w:rPr>
        <w:t>（以下简称广义消化周期）</w:t>
      </w:r>
      <w:r>
        <w:rPr>
          <w:rFonts w:hint="eastAsia"/>
        </w:rPr>
        <w:t>的整体</w:t>
      </w:r>
      <w:r w:rsidRPr="007A67E8">
        <w:rPr>
          <w:rFonts w:hint="eastAsia"/>
        </w:rPr>
        <w:t>走势来看，</w:t>
      </w:r>
      <w:r>
        <w:rPr>
          <w:rFonts w:hint="eastAsia"/>
        </w:rPr>
        <w:t>在2020-2021年期间仍能保持大致平稳，中长期去化压力指标的骤升主要还是出现在了2022年，至2022年末样本城市广义库存消化周期达到了6年，同比增幅高达66%。</w:t>
      </w:r>
    </w:p>
    <w:p w14:paraId="08E96C85" w14:textId="59610533" w:rsidR="0031176B" w:rsidRPr="007C32A5" w:rsidRDefault="0059633E" w:rsidP="0059633E">
      <w:pPr>
        <w:pStyle w:val="01"/>
        <w:ind w:left="420" w:firstLineChars="0" w:firstLine="0"/>
        <w:outlineLvl w:val="2"/>
        <w:rPr>
          <w:b/>
        </w:rPr>
      </w:pPr>
      <w:bookmarkStart w:id="32" w:name="_Toc127966710"/>
      <w:bookmarkStart w:id="33" w:name="_Toc128583530"/>
      <w:r>
        <w:rPr>
          <w:rFonts w:cs="方正兰亭中黑简体" w:hint="eastAsia"/>
          <w:b/>
          <w:bCs/>
          <w:szCs w:val="21"/>
        </w:rPr>
        <w:lastRenderedPageBreak/>
        <w:t>1）、</w:t>
      </w:r>
      <w:r w:rsidR="0031176B">
        <w:rPr>
          <w:rFonts w:hint="eastAsia"/>
          <w:b/>
        </w:rPr>
        <w:t>一线城市广义消化周期仍与2019年末持平，</w:t>
      </w:r>
      <w:r w:rsidR="0031176B" w:rsidRPr="0031176B">
        <w:rPr>
          <w:rFonts w:hint="eastAsia"/>
          <w:b/>
        </w:rPr>
        <w:t>三四线平均需8年方可去化完毕</w:t>
      </w:r>
      <w:bookmarkEnd w:id="32"/>
      <w:bookmarkEnd w:id="33"/>
      <w:r w:rsidR="005D371E">
        <w:rPr>
          <w:rFonts w:hint="eastAsia"/>
          <w:b/>
        </w:rPr>
        <w:t>（略）</w:t>
      </w:r>
    </w:p>
    <w:p w14:paraId="4DCCCE5C" w14:textId="20673C62" w:rsidR="00505531" w:rsidRPr="00137F99" w:rsidRDefault="00505531" w:rsidP="00505531">
      <w:pPr>
        <w:jc w:val="center"/>
        <w:rPr>
          <w:b/>
          <w:sz w:val="20"/>
          <w:szCs w:val="21"/>
        </w:rPr>
      </w:pPr>
      <w:r>
        <w:rPr>
          <w:rFonts w:hint="eastAsia"/>
          <w:b/>
          <w:sz w:val="20"/>
          <w:szCs w:val="21"/>
        </w:rPr>
        <w:t>图</w:t>
      </w:r>
      <w:r w:rsidRPr="00137F99">
        <w:rPr>
          <w:rFonts w:hint="eastAsia"/>
          <w:b/>
          <w:sz w:val="20"/>
          <w:szCs w:val="21"/>
        </w:rPr>
        <w:t>：</w:t>
      </w:r>
      <w:r>
        <w:rPr>
          <w:rFonts w:hint="eastAsia"/>
          <w:b/>
          <w:sz w:val="20"/>
          <w:szCs w:val="21"/>
        </w:rPr>
        <w:t>各能级城市住宅</w:t>
      </w:r>
      <w:r w:rsidRPr="00447593">
        <w:rPr>
          <w:rFonts w:hint="eastAsia"/>
          <w:b/>
          <w:sz w:val="20"/>
          <w:szCs w:val="21"/>
        </w:rPr>
        <w:t>广义库存</w:t>
      </w:r>
      <w:r>
        <w:rPr>
          <w:rFonts w:hint="eastAsia"/>
          <w:b/>
          <w:sz w:val="20"/>
          <w:szCs w:val="21"/>
        </w:rPr>
        <w:t>消化周期（年）</w:t>
      </w:r>
    </w:p>
    <w:p w14:paraId="23108D9D" w14:textId="1E6A8AD2" w:rsidR="009833E9" w:rsidRDefault="007A67E8" w:rsidP="009833E9">
      <w:pPr>
        <w:pStyle w:val="01"/>
        <w:spacing w:line="240" w:lineRule="auto"/>
        <w:ind w:left="420"/>
      </w:pPr>
      <w:r>
        <w:rPr>
          <w:noProof/>
        </w:rPr>
        <w:drawing>
          <wp:inline distT="0" distB="0" distL="0" distR="0" wp14:anchorId="58B98079" wp14:editId="3964E60E">
            <wp:extent cx="5486400" cy="305054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1ECCDD" w14:textId="77777777" w:rsidR="007A67E8" w:rsidRDefault="007A67E8" w:rsidP="007A67E8">
      <w:pPr>
        <w:spacing w:line="440" w:lineRule="exact"/>
        <w:ind w:leftChars="100" w:left="210"/>
        <w:jc w:val="right"/>
        <w:rPr>
          <w:rFonts w:ascii="宋体" w:eastAsia="宋体" w:hAnsi="宋体"/>
          <w:sz w:val="24"/>
        </w:rPr>
      </w:pPr>
      <w:r w:rsidRPr="00A5742C">
        <w:rPr>
          <w:rFonts w:ascii="宋体" w:hAnsi="宋体" w:hint="eastAsia"/>
          <w:b/>
          <w:bCs/>
          <w:sz w:val="20"/>
        </w:rPr>
        <w:t>数据来源：CRIC</w:t>
      </w:r>
      <w:r w:rsidRPr="00376503">
        <w:rPr>
          <w:rFonts w:ascii="宋体" w:eastAsia="宋体" w:hAnsi="宋体" w:hint="eastAsia"/>
          <w:sz w:val="24"/>
        </w:rPr>
        <w:t xml:space="preserve"> </w:t>
      </w:r>
    </w:p>
    <w:p w14:paraId="646305AD" w14:textId="24B5E404" w:rsidR="0031176B" w:rsidRPr="007C32A5" w:rsidRDefault="0059633E" w:rsidP="0059633E">
      <w:pPr>
        <w:pStyle w:val="01"/>
        <w:ind w:left="420" w:firstLineChars="0" w:firstLine="0"/>
        <w:outlineLvl w:val="2"/>
        <w:rPr>
          <w:b/>
        </w:rPr>
      </w:pPr>
      <w:bookmarkStart w:id="34" w:name="_Toc127966711"/>
      <w:bookmarkStart w:id="35" w:name="_Toc128583531"/>
      <w:r>
        <w:rPr>
          <w:rFonts w:cs="方正兰亭中黑简体" w:hint="eastAsia"/>
          <w:b/>
          <w:bCs/>
          <w:szCs w:val="21"/>
        </w:rPr>
        <w:t>2）、</w:t>
      </w:r>
      <w:r w:rsidR="0031176B">
        <w:rPr>
          <w:rFonts w:hint="eastAsia"/>
          <w:b/>
        </w:rPr>
        <w:t>近一半城市广义消化周期高于6年，重庆同比增</w:t>
      </w:r>
      <w:r w:rsidR="004613AD">
        <w:rPr>
          <w:rFonts w:hint="eastAsia"/>
          <w:b/>
        </w:rPr>
        <w:t>三</w:t>
      </w:r>
      <w:r w:rsidR="0031176B">
        <w:rPr>
          <w:rFonts w:hint="eastAsia"/>
          <w:b/>
        </w:rPr>
        <w:t>倍达到10年</w:t>
      </w:r>
      <w:bookmarkEnd w:id="34"/>
      <w:bookmarkEnd w:id="35"/>
    </w:p>
    <w:p w14:paraId="7E4B390A" w14:textId="6D66D909" w:rsidR="003856D9" w:rsidRDefault="003D1FE0" w:rsidP="003D1FE0">
      <w:pPr>
        <w:pStyle w:val="01"/>
      </w:pPr>
      <w:r>
        <w:rPr>
          <w:rFonts w:hint="eastAsia"/>
        </w:rPr>
        <w:t>就CRIC重点监测的30个城市指标变动情况来看，与狭义库存指标类似，</w:t>
      </w:r>
      <w:r w:rsidRPr="009833E9">
        <w:rPr>
          <w:rFonts w:hint="eastAsia"/>
          <w:b/>
        </w:rPr>
        <w:t>广义消化周期在3年以内的仅余合肥、杭州、上海、泉州等四个城市</w:t>
      </w:r>
      <w:r>
        <w:rPr>
          <w:rFonts w:hint="eastAsia"/>
        </w:rPr>
        <w:t>。</w:t>
      </w:r>
      <w:r w:rsidR="003856D9">
        <w:rPr>
          <w:rFonts w:hint="eastAsia"/>
        </w:rPr>
        <w:t>得益于土地供给侧的及时调整，以及前期广义库存指标的低位，使得这些城市广义消化周期仍能维持在安全区间。典型如杭州广义消化周期虽同比翻番，但仍能维持在2年左右的绝对低位。</w:t>
      </w:r>
    </w:p>
    <w:p w14:paraId="1DDACF4E" w14:textId="2CD3D9A9" w:rsidR="003D1FE0" w:rsidRDefault="003D1FE0" w:rsidP="003D1FE0">
      <w:pPr>
        <w:pStyle w:val="01"/>
      </w:pPr>
      <w:r>
        <w:rPr>
          <w:rFonts w:hint="eastAsia"/>
        </w:rPr>
        <w:t>接近一半的城市广义消化周期达到6年以上，中长期库存严重承压</w:t>
      </w:r>
      <w:r w:rsidR="003856D9">
        <w:rPr>
          <w:rFonts w:hint="eastAsia"/>
        </w:rPr>
        <w:t>，</w:t>
      </w:r>
      <w:r w:rsidR="003856D9" w:rsidRPr="003856D9">
        <w:rPr>
          <w:rFonts w:hint="eastAsia"/>
          <w:b/>
        </w:rPr>
        <w:t>典型如重庆广义消化周期达到9.8年，达到了上年的四倍</w:t>
      </w:r>
      <w:r w:rsidR="003856D9">
        <w:rPr>
          <w:rFonts w:hint="eastAsia"/>
        </w:rPr>
        <w:t>，其主要原因还是重庆商品住宅成交年内出现了大幅下滑至580万</w:t>
      </w:r>
      <w:r w:rsidR="00F13738">
        <w:rPr>
          <w:rFonts w:hint="eastAsia"/>
        </w:rPr>
        <w:t>㎡</w:t>
      </w:r>
      <w:r w:rsidR="003856D9">
        <w:rPr>
          <w:rFonts w:hint="eastAsia"/>
        </w:rPr>
        <w:t>，远远低于往年2000万量级的交易规模，再加之土地供给侧回调力度不足，年内土地成交规模降幅仅为一半左右，导致重庆广义消化周期出现了巨幅上升。特别</w:t>
      </w:r>
      <w:r>
        <w:rPr>
          <w:rFonts w:hint="eastAsia"/>
        </w:rPr>
        <w:t>需要说明的是</w:t>
      </w:r>
      <w:r w:rsidR="003856D9">
        <w:rPr>
          <w:rFonts w:hint="eastAsia"/>
        </w:rPr>
        <w:t>，</w:t>
      </w:r>
      <w:r>
        <w:rPr>
          <w:rFonts w:hint="eastAsia"/>
        </w:rPr>
        <w:t>深圳</w:t>
      </w:r>
      <w:r w:rsidR="009833E9">
        <w:rPr>
          <w:rFonts w:hint="eastAsia"/>
        </w:rPr>
        <w:t>与大部分城市被动上升的广义消化周期不同，深圳这一指标的高位有其特殊原因，作为近十年来人口规模增长最快的城市，再加之深圳本身多山少地的地理条件所限，开发商惜售造成广义消化周期高位亦在情理之中。</w:t>
      </w:r>
    </w:p>
    <w:p w14:paraId="56B6F9F9" w14:textId="05ED484F" w:rsidR="003D1FE0" w:rsidRPr="00137F99" w:rsidRDefault="003D1FE0" w:rsidP="003D1FE0">
      <w:pPr>
        <w:jc w:val="center"/>
        <w:rPr>
          <w:b/>
          <w:sz w:val="20"/>
          <w:szCs w:val="21"/>
        </w:rPr>
      </w:pPr>
      <w:r>
        <w:rPr>
          <w:rFonts w:hint="eastAsia"/>
          <w:b/>
          <w:sz w:val="20"/>
          <w:szCs w:val="21"/>
        </w:rPr>
        <w:t>表</w:t>
      </w:r>
      <w:r w:rsidRPr="00137F99">
        <w:rPr>
          <w:rFonts w:hint="eastAsia"/>
          <w:b/>
          <w:sz w:val="20"/>
          <w:szCs w:val="21"/>
        </w:rPr>
        <w:t>：</w:t>
      </w:r>
      <w:r>
        <w:rPr>
          <w:rFonts w:hint="eastAsia"/>
          <w:b/>
          <w:sz w:val="20"/>
          <w:szCs w:val="21"/>
        </w:rPr>
        <w:t>30</w:t>
      </w:r>
      <w:r>
        <w:rPr>
          <w:rFonts w:hint="eastAsia"/>
          <w:b/>
          <w:sz w:val="20"/>
          <w:szCs w:val="21"/>
        </w:rPr>
        <w:t>个重点监测城市</w:t>
      </w:r>
      <w:r>
        <w:rPr>
          <w:rFonts w:hint="eastAsia"/>
          <w:b/>
          <w:sz w:val="20"/>
          <w:szCs w:val="21"/>
        </w:rPr>
        <w:t>2022</w:t>
      </w:r>
      <w:r>
        <w:rPr>
          <w:rFonts w:hint="eastAsia"/>
          <w:b/>
          <w:sz w:val="20"/>
          <w:szCs w:val="21"/>
        </w:rPr>
        <w:t>年住宅广义库存消化周期（年）</w:t>
      </w:r>
    </w:p>
    <w:tbl>
      <w:tblPr>
        <w:tblW w:w="6540" w:type="dxa"/>
        <w:jc w:val="center"/>
        <w:tblLook w:val="04A0" w:firstRow="1" w:lastRow="0" w:firstColumn="1" w:lastColumn="0" w:noHBand="0" w:noVBand="1"/>
      </w:tblPr>
      <w:tblGrid>
        <w:gridCol w:w="1080"/>
        <w:gridCol w:w="1140"/>
        <w:gridCol w:w="1080"/>
        <w:gridCol w:w="1080"/>
        <w:gridCol w:w="1080"/>
        <w:gridCol w:w="1080"/>
      </w:tblGrid>
      <w:tr w:rsidR="003D1FE0" w:rsidRPr="003D1FE0" w14:paraId="6DFD7DC0" w14:textId="77777777" w:rsidTr="003D1FE0">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000000" w:fill="60A9B3"/>
            <w:noWrap/>
            <w:vAlign w:val="bottom"/>
            <w:hideMark/>
          </w:tcPr>
          <w:p w14:paraId="2934369A"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城市</w:t>
            </w:r>
          </w:p>
        </w:tc>
        <w:tc>
          <w:tcPr>
            <w:tcW w:w="1140" w:type="dxa"/>
            <w:tcBorders>
              <w:top w:val="single" w:sz="4" w:space="0" w:color="auto"/>
              <w:left w:val="nil"/>
              <w:bottom w:val="single" w:sz="4" w:space="0" w:color="auto"/>
              <w:right w:val="single" w:sz="4" w:space="0" w:color="auto"/>
            </w:tcBorders>
            <w:shd w:val="clear" w:color="000000" w:fill="60A9B3"/>
            <w:noWrap/>
            <w:vAlign w:val="bottom"/>
            <w:hideMark/>
          </w:tcPr>
          <w:p w14:paraId="531F766E"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2022年</w:t>
            </w:r>
          </w:p>
        </w:tc>
        <w:tc>
          <w:tcPr>
            <w:tcW w:w="1080" w:type="dxa"/>
            <w:tcBorders>
              <w:top w:val="single" w:sz="4" w:space="0" w:color="auto"/>
              <w:left w:val="nil"/>
              <w:bottom w:val="single" w:sz="4" w:space="0" w:color="auto"/>
              <w:right w:val="single" w:sz="4" w:space="0" w:color="auto"/>
            </w:tcBorders>
            <w:shd w:val="clear" w:color="000000" w:fill="60A9B3"/>
            <w:noWrap/>
            <w:vAlign w:val="bottom"/>
            <w:hideMark/>
          </w:tcPr>
          <w:p w14:paraId="790F348C"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同比</w:t>
            </w:r>
          </w:p>
        </w:tc>
        <w:tc>
          <w:tcPr>
            <w:tcW w:w="1080" w:type="dxa"/>
            <w:tcBorders>
              <w:top w:val="single" w:sz="4" w:space="0" w:color="auto"/>
              <w:left w:val="nil"/>
              <w:bottom w:val="single" w:sz="4" w:space="0" w:color="auto"/>
              <w:right w:val="single" w:sz="4" w:space="0" w:color="auto"/>
            </w:tcBorders>
            <w:shd w:val="clear" w:color="000000" w:fill="60A9B3"/>
            <w:noWrap/>
            <w:vAlign w:val="bottom"/>
            <w:hideMark/>
          </w:tcPr>
          <w:p w14:paraId="575FCFDA"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城市</w:t>
            </w:r>
          </w:p>
        </w:tc>
        <w:tc>
          <w:tcPr>
            <w:tcW w:w="1080" w:type="dxa"/>
            <w:tcBorders>
              <w:top w:val="single" w:sz="4" w:space="0" w:color="auto"/>
              <w:left w:val="nil"/>
              <w:bottom w:val="single" w:sz="4" w:space="0" w:color="auto"/>
              <w:right w:val="single" w:sz="4" w:space="0" w:color="auto"/>
            </w:tcBorders>
            <w:shd w:val="clear" w:color="000000" w:fill="60A9B3"/>
            <w:noWrap/>
            <w:vAlign w:val="bottom"/>
            <w:hideMark/>
          </w:tcPr>
          <w:p w14:paraId="11B5B4BE"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2022年</w:t>
            </w:r>
          </w:p>
        </w:tc>
        <w:tc>
          <w:tcPr>
            <w:tcW w:w="1080" w:type="dxa"/>
            <w:tcBorders>
              <w:top w:val="single" w:sz="4" w:space="0" w:color="auto"/>
              <w:left w:val="nil"/>
              <w:bottom w:val="single" w:sz="4" w:space="0" w:color="auto"/>
              <w:right w:val="single" w:sz="4" w:space="0" w:color="auto"/>
            </w:tcBorders>
            <w:shd w:val="clear" w:color="000000" w:fill="60A9B3"/>
            <w:noWrap/>
            <w:vAlign w:val="bottom"/>
            <w:hideMark/>
          </w:tcPr>
          <w:p w14:paraId="02E388A3"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同比</w:t>
            </w:r>
          </w:p>
        </w:tc>
      </w:tr>
      <w:tr w:rsidR="003D1FE0" w:rsidRPr="003D1FE0" w14:paraId="09B65D87"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CE12DC" w14:textId="77777777" w:rsidR="003D1FE0" w:rsidRPr="003D1FE0" w:rsidRDefault="003D1FE0" w:rsidP="003D1FE0">
            <w:pPr>
              <w:widowControl/>
              <w:jc w:val="left"/>
              <w:rPr>
                <w:rFonts w:ascii="宋体" w:eastAsia="宋体" w:hAnsi="宋体" w:cs="宋体"/>
                <w:color w:val="FF0000"/>
                <w:kern w:val="0"/>
                <w:sz w:val="22"/>
              </w:rPr>
            </w:pPr>
            <w:r w:rsidRPr="003D1FE0">
              <w:rPr>
                <w:rFonts w:ascii="宋体" w:eastAsia="宋体" w:hAnsi="宋体" w:cs="宋体" w:hint="eastAsia"/>
                <w:color w:val="FF0000"/>
                <w:kern w:val="0"/>
                <w:sz w:val="22"/>
              </w:rPr>
              <w:t>上海</w:t>
            </w:r>
          </w:p>
        </w:tc>
        <w:tc>
          <w:tcPr>
            <w:tcW w:w="1140" w:type="dxa"/>
            <w:tcBorders>
              <w:top w:val="nil"/>
              <w:left w:val="nil"/>
              <w:bottom w:val="single" w:sz="4" w:space="0" w:color="auto"/>
              <w:right w:val="single" w:sz="4" w:space="0" w:color="auto"/>
            </w:tcBorders>
            <w:shd w:val="clear" w:color="auto" w:fill="auto"/>
            <w:noWrap/>
            <w:vAlign w:val="bottom"/>
            <w:hideMark/>
          </w:tcPr>
          <w:p w14:paraId="6CB63FBC" w14:textId="77777777" w:rsidR="003D1FE0" w:rsidRPr="003D1FE0" w:rsidRDefault="003D1FE0" w:rsidP="003D1FE0">
            <w:pPr>
              <w:widowControl/>
              <w:jc w:val="right"/>
              <w:rPr>
                <w:rFonts w:ascii="宋体" w:eastAsia="宋体" w:hAnsi="宋体" w:cs="宋体"/>
                <w:color w:val="FF0000"/>
                <w:kern w:val="0"/>
                <w:sz w:val="22"/>
              </w:rPr>
            </w:pPr>
            <w:r w:rsidRPr="003D1FE0">
              <w:rPr>
                <w:rFonts w:ascii="宋体" w:eastAsia="宋体" w:hAnsi="宋体" w:cs="宋体" w:hint="eastAsia"/>
                <w:color w:val="FF0000"/>
                <w:kern w:val="0"/>
                <w:sz w:val="22"/>
              </w:rPr>
              <w:t>2.4</w:t>
            </w:r>
          </w:p>
        </w:tc>
        <w:tc>
          <w:tcPr>
            <w:tcW w:w="1080" w:type="dxa"/>
            <w:tcBorders>
              <w:top w:val="nil"/>
              <w:left w:val="nil"/>
              <w:bottom w:val="single" w:sz="4" w:space="0" w:color="auto"/>
              <w:right w:val="single" w:sz="4" w:space="0" w:color="auto"/>
            </w:tcBorders>
            <w:shd w:val="clear" w:color="auto" w:fill="auto"/>
            <w:noWrap/>
            <w:vAlign w:val="bottom"/>
            <w:hideMark/>
          </w:tcPr>
          <w:p w14:paraId="26B809E2" w14:textId="77777777" w:rsidR="003D1FE0" w:rsidRPr="003D1FE0" w:rsidRDefault="003D1FE0" w:rsidP="003D1FE0">
            <w:pPr>
              <w:widowControl/>
              <w:jc w:val="right"/>
              <w:rPr>
                <w:rFonts w:ascii="宋体" w:eastAsia="宋体" w:hAnsi="宋体" w:cs="宋体"/>
                <w:color w:val="FF0000"/>
                <w:kern w:val="0"/>
                <w:sz w:val="22"/>
              </w:rPr>
            </w:pPr>
            <w:r w:rsidRPr="003D1FE0">
              <w:rPr>
                <w:rFonts w:ascii="宋体" w:eastAsia="宋体" w:hAnsi="宋体" w:cs="宋体" w:hint="eastAsia"/>
                <w:color w:val="FF0000"/>
                <w:kern w:val="0"/>
                <w:sz w:val="22"/>
              </w:rPr>
              <w:t>12%</w:t>
            </w:r>
          </w:p>
        </w:tc>
        <w:tc>
          <w:tcPr>
            <w:tcW w:w="1080" w:type="dxa"/>
            <w:tcBorders>
              <w:top w:val="nil"/>
              <w:left w:val="nil"/>
              <w:bottom w:val="single" w:sz="4" w:space="0" w:color="auto"/>
              <w:right w:val="single" w:sz="4" w:space="0" w:color="auto"/>
            </w:tcBorders>
            <w:shd w:val="clear" w:color="000000" w:fill="DAEEF3"/>
            <w:noWrap/>
            <w:vAlign w:val="bottom"/>
            <w:hideMark/>
          </w:tcPr>
          <w:p w14:paraId="7D5FDCDE"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昆明</w:t>
            </w:r>
          </w:p>
        </w:tc>
        <w:tc>
          <w:tcPr>
            <w:tcW w:w="1080" w:type="dxa"/>
            <w:tcBorders>
              <w:top w:val="nil"/>
              <w:left w:val="nil"/>
              <w:bottom w:val="single" w:sz="4" w:space="0" w:color="auto"/>
              <w:right w:val="single" w:sz="4" w:space="0" w:color="auto"/>
            </w:tcBorders>
            <w:shd w:val="clear" w:color="auto" w:fill="auto"/>
            <w:noWrap/>
            <w:vAlign w:val="bottom"/>
            <w:hideMark/>
          </w:tcPr>
          <w:p w14:paraId="61A93293"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6.5</w:t>
            </w:r>
          </w:p>
        </w:tc>
        <w:tc>
          <w:tcPr>
            <w:tcW w:w="1080" w:type="dxa"/>
            <w:tcBorders>
              <w:top w:val="nil"/>
              <w:left w:val="nil"/>
              <w:bottom w:val="single" w:sz="4" w:space="0" w:color="auto"/>
              <w:right w:val="single" w:sz="4" w:space="0" w:color="auto"/>
            </w:tcBorders>
            <w:shd w:val="clear" w:color="auto" w:fill="auto"/>
            <w:noWrap/>
            <w:vAlign w:val="bottom"/>
            <w:hideMark/>
          </w:tcPr>
          <w:p w14:paraId="330609E5"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33%</w:t>
            </w:r>
          </w:p>
        </w:tc>
      </w:tr>
      <w:tr w:rsidR="003D1FE0" w:rsidRPr="003D1FE0" w14:paraId="55A64E42"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2EB486"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北京</w:t>
            </w:r>
          </w:p>
        </w:tc>
        <w:tc>
          <w:tcPr>
            <w:tcW w:w="1140" w:type="dxa"/>
            <w:tcBorders>
              <w:top w:val="nil"/>
              <w:left w:val="nil"/>
              <w:bottom w:val="single" w:sz="4" w:space="0" w:color="auto"/>
              <w:right w:val="single" w:sz="4" w:space="0" w:color="auto"/>
            </w:tcBorders>
            <w:shd w:val="clear" w:color="auto" w:fill="auto"/>
            <w:noWrap/>
            <w:vAlign w:val="bottom"/>
            <w:hideMark/>
          </w:tcPr>
          <w:p w14:paraId="7ED04028"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3.2</w:t>
            </w:r>
          </w:p>
        </w:tc>
        <w:tc>
          <w:tcPr>
            <w:tcW w:w="1080" w:type="dxa"/>
            <w:tcBorders>
              <w:top w:val="nil"/>
              <w:left w:val="nil"/>
              <w:bottom w:val="single" w:sz="4" w:space="0" w:color="auto"/>
              <w:right w:val="single" w:sz="4" w:space="0" w:color="auto"/>
            </w:tcBorders>
            <w:shd w:val="clear" w:color="auto" w:fill="auto"/>
            <w:noWrap/>
            <w:vAlign w:val="bottom"/>
            <w:hideMark/>
          </w:tcPr>
          <w:p w14:paraId="163A49AD"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49%</w:t>
            </w:r>
          </w:p>
        </w:tc>
        <w:tc>
          <w:tcPr>
            <w:tcW w:w="1080" w:type="dxa"/>
            <w:tcBorders>
              <w:top w:val="nil"/>
              <w:left w:val="nil"/>
              <w:bottom w:val="single" w:sz="4" w:space="0" w:color="auto"/>
              <w:right w:val="single" w:sz="4" w:space="0" w:color="auto"/>
            </w:tcBorders>
            <w:shd w:val="clear" w:color="000000" w:fill="DAEEF3"/>
            <w:noWrap/>
            <w:vAlign w:val="bottom"/>
            <w:hideMark/>
          </w:tcPr>
          <w:p w14:paraId="55293129"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长春</w:t>
            </w:r>
          </w:p>
        </w:tc>
        <w:tc>
          <w:tcPr>
            <w:tcW w:w="1080" w:type="dxa"/>
            <w:tcBorders>
              <w:top w:val="nil"/>
              <w:left w:val="nil"/>
              <w:bottom w:val="single" w:sz="4" w:space="0" w:color="auto"/>
              <w:right w:val="single" w:sz="4" w:space="0" w:color="auto"/>
            </w:tcBorders>
            <w:shd w:val="clear" w:color="auto" w:fill="auto"/>
            <w:noWrap/>
            <w:vAlign w:val="bottom"/>
            <w:hideMark/>
          </w:tcPr>
          <w:p w14:paraId="284FDE64"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7.7</w:t>
            </w:r>
          </w:p>
        </w:tc>
        <w:tc>
          <w:tcPr>
            <w:tcW w:w="1080" w:type="dxa"/>
            <w:tcBorders>
              <w:top w:val="nil"/>
              <w:left w:val="nil"/>
              <w:bottom w:val="single" w:sz="4" w:space="0" w:color="auto"/>
              <w:right w:val="single" w:sz="4" w:space="0" w:color="auto"/>
            </w:tcBorders>
            <w:shd w:val="clear" w:color="auto" w:fill="auto"/>
            <w:noWrap/>
            <w:vAlign w:val="bottom"/>
            <w:hideMark/>
          </w:tcPr>
          <w:p w14:paraId="1B137CC5"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33%</w:t>
            </w:r>
          </w:p>
        </w:tc>
      </w:tr>
      <w:tr w:rsidR="003D1FE0" w:rsidRPr="003D1FE0" w14:paraId="08EA51DB"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81518C2"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广州</w:t>
            </w:r>
          </w:p>
        </w:tc>
        <w:tc>
          <w:tcPr>
            <w:tcW w:w="1140" w:type="dxa"/>
            <w:tcBorders>
              <w:top w:val="nil"/>
              <w:left w:val="nil"/>
              <w:bottom w:val="single" w:sz="4" w:space="0" w:color="auto"/>
              <w:right w:val="single" w:sz="4" w:space="0" w:color="auto"/>
            </w:tcBorders>
            <w:shd w:val="clear" w:color="auto" w:fill="auto"/>
            <w:noWrap/>
            <w:vAlign w:val="bottom"/>
            <w:hideMark/>
          </w:tcPr>
          <w:p w14:paraId="0C63C211"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6.6</w:t>
            </w:r>
          </w:p>
        </w:tc>
        <w:tc>
          <w:tcPr>
            <w:tcW w:w="1080" w:type="dxa"/>
            <w:tcBorders>
              <w:top w:val="nil"/>
              <w:left w:val="nil"/>
              <w:bottom w:val="single" w:sz="4" w:space="0" w:color="auto"/>
              <w:right w:val="single" w:sz="4" w:space="0" w:color="auto"/>
            </w:tcBorders>
            <w:shd w:val="clear" w:color="auto" w:fill="auto"/>
            <w:noWrap/>
            <w:vAlign w:val="bottom"/>
            <w:hideMark/>
          </w:tcPr>
          <w:p w14:paraId="6A18B5C1"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47%</w:t>
            </w:r>
          </w:p>
        </w:tc>
        <w:tc>
          <w:tcPr>
            <w:tcW w:w="1080" w:type="dxa"/>
            <w:tcBorders>
              <w:top w:val="nil"/>
              <w:left w:val="nil"/>
              <w:bottom w:val="single" w:sz="4" w:space="0" w:color="auto"/>
              <w:right w:val="single" w:sz="4" w:space="0" w:color="auto"/>
            </w:tcBorders>
            <w:shd w:val="clear" w:color="000000" w:fill="DAEEF3"/>
            <w:noWrap/>
            <w:vAlign w:val="bottom"/>
            <w:hideMark/>
          </w:tcPr>
          <w:p w14:paraId="51019410"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武汉</w:t>
            </w:r>
          </w:p>
        </w:tc>
        <w:tc>
          <w:tcPr>
            <w:tcW w:w="1080" w:type="dxa"/>
            <w:tcBorders>
              <w:top w:val="nil"/>
              <w:left w:val="nil"/>
              <w:bottom w:val="single" w:sz="4" w:space="0" w:color="auto"/>
              <w:right w:val="single" w:sz="4" w:space="0" w:color="auto"/>
            </w:tcBorders>
            <w:shd w:val="clear" w:color="auto" w:fill="auto"/>
            <w:noWrap/>
            <w:vAlign w:val="bottom"/>
            <w:hideMark/>
          </w:tcPr>
          <w:p w14:paraId="449A19AE"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8.8</w:t>
            </w:r>
          </w:p>
        </w:tc>
        <w:tc>
          <w:tcPr>
            <w:tcW w:w="1080" w:type="dxa"/>
            <w:tcBorders>
              <w:top w:val="nil"/>
              <w:left w:val="nil"/>
              <w:bottom w:val="single" w:sz="4" w:space="0" w:color="auto"/>
              <w:right w:val="single" w:sz="4" w:space="0" w:color="auto"/>
            </w:tcBorders>
            <w:shd w:val="clear" w:color="auto" w:fill="auto"/>
            <w:noWrap/>
            <w:vAlign w:val="bottom"/>
            <w:hideMark/>
          </w:tcPr>
          <w:p w14:paraId="66D80951"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77%</w:t>
            </w:r>
          </w:p>
        </w:tc>
      </w:tr>
      <w:tr w:rsidR="003D1FE0" w:rsidRPr="003D1FE0" w14:paraId="65C99149"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52E17A"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深圳</w:t>
            </w:r>
          </w:p>
        </w:tc>
        <w:tc>
          <w:tcPr>
            <w:tcW w:w="1140" w:type="dxa"/>
            <w:tcBorders>
              <w:top w:val="nil"/>
              <w:left w:val="nil"/>
              <w:bottom w:val="single" w:sz="4" w:space="0" w:color="auto"/>
              <w:right w:val="single" w:sz="4" w:space="0" w:color="auto"/>
            </w:tcBorders>
            <w:shd w:val="clear" w:color="auto" w:fill="auto"/>
            <w:noWrap/>
            <w:vAlign w:val="bottom"/>
            <w:hideMark/>
          </w:tcPr>
          <w:p w14:paraId="26A0D186"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11.8</w:t>
            </w:r>
          </w:p>
        </w:tc>
        <w:tc>
          <w:tcPr>
            <w:tcW w:w="1080" w:type="dxa"/>
            <w:tcBorders>
              <w:top w:val="nil"/>
              <w:left w:val="nil"/>
              <w:bottom w:val="single" w:sz="4" w:space="0" w:color="auto"/>
              <w:right w:val="single" w:sz="4" w:space="0" w:color="auto"/>
            </w:tcBorders>
            <w:shd w:val="clear" w:color="auto" w:fill="auto"/>
            <w:noWrap/>
            <w:vAlign w:val="bottom"/>
            <w:hideMark/>
          </w:tcPr>
          <w:p w14:paraId="0292D11C"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78%</w:t>
            </w:r>
          </w:p>
        </w:tc>
        <w:tc>
          <w:tcPr>
            <w:tcW w:w="1080" w:type="dxa"/>
            <w:tcBorders>
              <w:top w:val="nil"/>
              <w:left w:val="nil"/>
              <w:bottom w:val="single" w:sz="4" w:space="0" w:color="auto"/>
              <w:right w:val="single" w:sz="4" w:space="0" w:color="auto"/>
            </w:tcBorders>
            <w:shd w:val="clear" w:color="000000" w:fill="DAEEF3"/>
            <w:noWrap/>
            <w:vAlign w:val="bottom"/>
            <w:hideMark/>
          </w:tcPr>
          <w:p w14:paraId="556CC0F7"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青岛</w:t>
            </w:r>
          </w:p>
        </w:tc>
        <w:tc>
          <w:tcPr>
            <w:tcW w:w="1080" w:type="dxa"/>
            <w:tcBorders>
              <w:top w:val="nil"/>
              <w:left w:val="nil"/>
              <w:bottom w:val="single" w:sz="4" w:space="0" w:color="auto"/>
              <w:right w:val="single" w:sz="4" w:space="0" w:color="auto"/>
            </w:tcBorders>
            <w:shd w:val="clear" w:color="auto" w:fill="auto"/>
            <w:noWrap/>
            <w:vAlign w:val="bottom"/>
            <w:hideMark/>
          </w:tcPr>
          <w:p w14:paraId="48339A80"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8.9</w:t>
            </w:r>
          </w:p>
        </w:tc>
        <w:tc>
          <w:tcPr>
            <w:tcW w:w="1080" w:type="dxa"/>
            <w:tcBorders>
              <w:top w:val="nil"/>
              <w:left w:val="nil"/>
              <w:bottom w:val="single" w:sz="4" w:space="0" w:color="auto"/>
              <w:right w:val="single" w:sz="4" w:space="0" w:color="auto"/>
            </w:tcBorders>
            <w:shd w:val="clear" w:color="auto" w:fill="auto"/>
            <w:noWrap/>
            <w:vAlign w:val="bottom"/>
            <w:hideMark/>
          </w:tcPr>
          <w:p w14:paraId="7EBAF803"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78%</w:t>
            </w:r>
          </w:p>
        </w:tc>
      </w:tr>
      <w:tr w:rsidR="003D1FE0" w:rsidRPr="003D1FE0" w14:paraId="768B78A8"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00D783A7" w14:textId="77777777" w:rsidR="003D1FE0" w:rsidRPr="003D1FE0" w:rsidRDefault="003D1FE0" w:rsidP="003D1FE0">
            <w:pPr>
              <w:widowControl/>
              <w:jc w:val="left"/>
              <w:rPr>
                <w:rFonts w:ascii="宋体" w:eastAsia="宋体" w:hAnsi="宋体" w:cs="宋体"/>
                <w:color w:val="FF0000"/>
                <w:kern w:val="0"/>
                <w:sz w:val="22"/>
              </w:rPr>
            </w:pPr>
            <w:r w:rsidRPr="003D1FE0">
              <w:rPr>
                <w:rFonts w:ascii="宋体" w:eastAsia="宋体" w:hAnsi="宋体" w:cs="宋体" w:hint="eastAsia"/>
                <w:color w:val="FF0000"/>
                <w:kern w:val="0"/>
                <w:sz w:val="22"/>
              </w:rPr>
              <w:t>合肥</w:t>
            </w:r>
          </w:p>
        </w:tc>
        <w:tc>
          <w:tcPr>
            <w:tcW w:w="1140" w:type="dxa"/>
            <w:tcBorders>
              <w:top w:val="nil"/>
              <w:left w:val="nil"/>
              <w:bottom w:val="single" w:sz="4" w:space="0" w:color="auto"/>
              <w:right w:val="single" w:sz="4" w:space="0" w:color="auto"/>
            </w:tcBorders>
            <w:shd w:val="clear" w:color="auto" w:fill="auto"/>
            <w:noWrap/>
            <w:vAlign w:val="bottom"/>
            <w:hideMark/>
          </w:tcPr>
          <w:p w14:paraId="66E240E2" w14:textId="77777777" w:rsidR="003D1FE0" w:rsidRPr="003D1FE0" w:rsidRDefault="003D1FE0" w:rsidP="003D1FE0">
            <w:pPr>
              <w:widowControl/>
              <w:jc w:val="right"/>
              <w:rPr>
                <w:rFonts w:ascii="宋体" w:eastAsia="宋体" w:hAnsi="宋体" w:cs="宋体"/>
                <w:color w:val="FF0000"/>
                <w:kern w:val="0"/>
                <w:sz w:val="22"/>
              </w:rPr>
            </w:pPr>
            <w:r w:rsidRPr="003D1FE0">
              <w:rPr>
                <w:rFonts w:ascii="宋体" w:eastAsia="宋体" w:hAnsi="宋体" w:cs="宋体" w:hint="eastAsia"/>
                <w:color w:val="FF0000"/>
                <w:kern w:val="0"/>
                <w:sz w:val="22"/>
              </w:rPr>
              <w:t>1.7</w:t>
            </w:r>
          </w:p>
        </w:tc>
        <w:tc>
          <w:tcPr>
            <w:tcW w:w="1080" w:type="dxa"/>
            <w:tcBorders>
              <w:top w:val="nil"/>
              <w:left w:val="nil"/>
              <w:bottom w:val="single" w:sz="4" w:space="0" w:color="auto"/>
              <w:right w:val="single" w:sz="4" w:space="0" w:color="auto"/>
            </w:tcBorders>
            <w:shd w:val="clear" w:color="auto" w:fill="auto"/>
            <w:noWrap/>
            <w:vAlign w:val="bottom"/>
            <w:hideMark/>
          </w:tcPr>
          <w:p w14:paraId="10E0062E" w14:textId="77777777" w:rsidR="003D1FE0" w:rsidRPr="003D1FE0" w:rsidRDefault="003D1FE0" w:rsidP="003D1FE0">
            <w:pPr>
              <w:widowControl/>
              <w:jc w:val="right"/>
              <w:rPr>
                <w:rFonts w:ascii="宋体" w:eastAsia="宋体" w:hAnsi="宋体" w:cs="宋体"/>
                <w:color w:val="FF0000"/>
                <w:kern w:val="0"/>
                <w:sz w:val="22"/>
              </w:rPr>
            </w:pPr>
            <w:r w:rsidRPr="003D1FE0">
              <w:rPr>
                <w:rFonts w:ascii="宋体" w:eastAsia="宋体" w:hAnsi="宋体" w:cs="宋体" w:hint="eastAsia"/>
                <w:color w:val="FF0000"/>
                <w:kern w:val="0"/>
                <w:sz w:val="22"/>
              </w:rPr>
              <w:t>71%</w:t>
            </w:r>
          </w:p>
        </w:tc>
        <w:tc>
          <w:tcPr>
            <w:tcW w:w="1080" w:type="dxa"/>
            <w:tcBorders>
              <w:top w:val="nil"/>
              <w:left w:val="nil"/>
              <w:bottom w:val="single" w:sz="4" w:space="0" w:color="auto"/>
              <w:right w:val="single" w:sz="4" w:space="0" w:color="auto"/>
            </w:tcBorders>
            <w:shd w:val="clear" w:color="000000" w:fill="DAEEF3"/>
            <w:noWrap/>
            <w:vAlign w:val="bottom"/>
            <w:hideMark/>
          </w:tcPr>
          <w:p w14:paraId="7D59DD1C" w14:textId="77777777" w:rsidR="003D1FE0" w:rsidRPr="003D1FE0" w:rsidRDefault="003D1FE0" w:rsidP="003D1FE0">
            <w:pPr>
              <w:widowControl/>
              <w:jc w:val="left"/>
              <w:rPr>
                <w:rFonts w:ascii="宋体" w:eastAsia="宋体" w:hAnsi="宋体" w:cs="宋体"/>
                <w:color w:val="00B050"/>
                <w:kern w:val="0"/>
                <w:sz w:val="22"/>
              </w:rPr>
            </w:pPr>
            <w:r w:rsidRPr="003D1FE0">
              <w:rPr>
                <w:rFonts w:ascii="宋体" w:eastAsia="宋体" w:hAnsi="宋体" w:cs="宋体" w:hint="eastAsia"/>
                <w:color w:val="00B050"/>
                <w:kern w:val="0"/>
                <w:sz w:val="22"/>
              </w:rPr>
              <w:t>重庆</w:t>
            </w:r>
          </w:p>
        </w:tc>
        <w:tc>
          <w:tcPr>
            <w:tcW w:w="1080" w:type="dxa"/>
            <w:tcBorders>
              <w:top w:val="nil"/>
              <w:left w:val="nil"/>
              <w:bottom w:val="single" w:sz="4" w:space="0" w:color="auto"/>
              <w:right w:val="single" w:sz="4" w:space="0" w:color="auto"/>
            </w:tcBorders>
            <w:shd w:val="clear" w:color="auto" w:fill="auto"/>
            <w:noWrap/>
            <w:vAlign w:val="bottom"/>
            <w:hideMark/>
          </w:tcPr>
          <w:p w14:paraId="7B848988" w14:textId="77777777" w:rsidR="003D1FE0" w:rsidRPr="003D1FE0" w:rsidRDefault="003D1FE0" w:rsidP="003D1FE0">
            <w:pPr>
              <w:widowControl/>
              <w:jc w:val="right"/>
              <w:rPr>
                <w:rFonts w:ascii="宋体" w:eastAsia="宋体" w:hAnsi="宋体" w:cs="宋体"/>
                <w:color w:val="00B050"/>
                <w:kern w:val="0"/>
                <w:sz w:val="22"/>
              </w:rPr>
            </w:pPr>
            <w:r w:rsidRPr="003D1FE0">
              <w:rPr>
                <w:rFonts w:ascii="宋体" w:eastAsia="宋体" w:hAnsi="宋体" w:cs="宋体" w:hint="eastAsia"/>
                <w:color w:val="00B050"/>
                <w:kern w:val="0"/>
                <w:sz w:val="22"/>
              </w:rPr>
              <w:t>9.8</w:t>
            </w:r>
          </w:p>
        </w:tc>
        <w:tc>
          <w:tcPr>
            <w:tcW w:w="1080" w:type="dxa"/>
            <w:tcBorders>
              <w:top w:val="nil"/>
              <w:left w:val="nil"/>
              <w:bottom w:val="single" w:sz="4" w:space="0" w:color="auto"/>
              <w:right w:val="single" w:sz="4" w:space="0" w:color="auto"/>
            </w:tcBorders>
            <w:shd w:val="clear" w:color="auto" w:fill="auto"/>
            <w:noWrap/>
            <w:vAlign w:val="bottom"/>
            <w:hideMark/>
          </w:tcPr>
          <w:p w14:paraId="269D2B1B" w14:textId="77777777" w:rsidR="003D1FE0" w:rsidRPr="003D1FE0" w:rsidRDefault="003D1FE0" w:rsidP="003D1FE0">
            <w:pPr>
              <w:widowControl/>
              <w:jc w:val="right"/>
              <w:rPr>
                <w:rFonts w:ascii="宋体" w:eastAsia="宋体" w:hAnsi="宋体" w:cs="宋体"/>
                <w:color w:val="00B050"/>
                <w:kern w:val="0"/>
                <w:sz w:val="22"/>
              </w:rPr>
            </w:pPr>
            <w:r w:rsidRPr="003D1FE0">
              <w:rPr>
                <w:rFonts w:ascii="宋体" w:eastAsia="宋体" w:hAnsi="宋体" w:cs="宋体" w:hint="eastAsia"/>
                <w:color w:val="00B050"/>
                <w:kern w:val="0"/>
                <w:sz w:val="22"/>
              </w:rPr>
              <w:t>301%</w:t>
            </w:r>
          </w:p>
        </w:tc>
      </w:tr>
      <w:tr w:rsidR="003D1FE0" w:rsidRPr="003D1FE0" w14:paraId="20853554"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5FA0BAAB" w14:textId="77777777" w:rsidR="003D1FE0" w:rsidRPr="003D1FE0" w:rsidRDefault="003D1FE0" w:rsidP="003D1FE0">
            <w:pPr>
              <w:widowControl/>
              <w:jc w:val="left"/>
              <w:rPr>
                <w:rFonts w:ascii="宋体" w:eastAsia="宋体" w:hAnsi="宋体" w:cs="宋体"/>
                <w:color w:val="FF0000"/>
                <w:kern w:val="0"/>
                <w:sz w:val="22"/>
              </w:rPr>
            </w:pPr>
            <w:r w:rsidRPr="003D1FE0">
              <w:rPr>
                <w:rFonts w:ascii="宋体" w:eastAsia="宋体" w:hAnsi="宋体" w:cs="宋体" w:hint="eastAsia"/>
                <w:color w:val="FF0000"/>
                <w:kern w:val="0"/>
                <w:sz w:val="22"/>
              </w:rPr>
              <w:t>杭州</w:t>
            </w:r>
          </w:p>
        </w:tc>
        <w:tc>
          <w:tcPr>
            <w:tcW w:w="1140" w:type="dxa"/>
            <w:tcBorders>
              <w:top w:val="nil"/>
              <w:left w:val="nil"/>
              <w:bottom w:val="single" w:sz="4" w:space="0" w:color="auto"/>
              <w:right w:val="single" w:sz="4" w:space="0" w:color="auto"/>
            </w:tcBorders>
            <w:shd w:val="clear" w:color="auto" w:fill="auto"/>
            <w:noWrap/>
            <w:vAlign w:val="bottom"/>
            <w:hideMark/>
          </w:tcPr>
          <w:p w14:paraId="342612B4" w14:textId="77777777" w:rsidR="003D1FE0" w:rsidRPr="003D1FE0" w:rsidRDefault="003D1FE0" w:rsidP="003D1FE0">
            <w:pPr>
              <w:widowControl/>
              <w:jc w:val="right"/>
              <w:rPr>
                <w:rFonts w:ascii="宋体" w:eastAsia="宋体" w:hAnsi="宋体" w:cs="宋体"/>
                <w:color w:val="FF0000"/>
                <w:kern w:val="0"/>
                <w:sz w:val="22"/>
              </w:rPr>
            </w:pPr>
            <w:r w:rsidRPr="003D1FE0">
              <w:rPr>
                <w:rFonts w:ascii="宋体" w:eastAsia="宋体" w:hAnsi="宋体" w:cs="宋体" w:hint="eastAsia"/>
                <w:color w:val="FF0000"/>
                <w:kern w:val="0"/>
                <w:sz w:val="22"/>
              </w:rPr>
              <w:t>2.0</w:t>
            </w:r>
          </w:p>
        </w:tc>
        <w:tc>
          <w:tcPr>
            <w:tcW w:w="1080" w:type="dxa"/>
            <w:tcBorders>
              <w:top w:val="nil"/>
              <w:left w:val="nil"/>
              <w:bottom w:val="single" w:sz="4" w:space="0" w:color="auto"/>
              <w:right w:val="single" w:sz="4" w:space="0" w:color="auto"/>
            </w:tcBorders>
            <w:shd w:val="clear" w:color="auto" w:fill="auto"/>
            <w:noWrap/>
            <w:vAlign w:val="bottom"/>
            <w:hideMark/>
          </w:tcPr>
          <w:p w14:paraId="33A86267" w14:textId="77777777" w:rsidR="003D1FE0" w:rsidRPr="003D1FE0" w:rsidRDefault="003D1FE0" w:rsidP="003D1FE0">
            <w:pPr>
              <w:widowControl/>
              <w:jc w:val="right"/>
              <w:rPr>
                <w:rFonts w:ascii="宋体" w:eastAsia="宋体" w:hAnsi="宋体" w:cs="宋体"/>
                <w:color w:val="FF0000"/>
                <w:kern w:val="0"/>
                <w:sz w:val="22"/>
              </w:rPr>
            </w:pPr>
            <w:r w:rsidRPr="003D1FE0">
              <w:rPr>
                <w:rFonts w:ascii="宋体" w:eastAsia="宋体" w:hAnsi="宋体" w:cs="宋体" w:hint="eastAsia"/>
                <w:color w:val="FF0000"/>
                <w:kern w:val="0"/>
                <w:sz w:val="22"/>
              </w:rPr>
              <w:t>101%</w:t>
            </w:r>
          </w:p>
        </w:tc>
        <w:tc>
          <w:tcPr>
            <w:tcW w:w="1080" w:type="dxa"/>
            <w:tcBorders>
              <w:top w:val="nil"/>
              <w:left w:val="nil"/>
              <w:bottom w:val="single" w:sz="4" w:space="0" w:color="auto"/>
              <w:right w:val="single" w:sz="4" w:space="0" w:color="auto"/>
            </w:tcBorders>
            <w:shd w:val="clear" w:color="000000" w:fill="FDE9D9"/>
            <w:noWrap/>
            <w:vAlign w:val="bottom"/>
            <w:hideMark/>
          </w:tcPr>
          <w:p w14:paraId="5DD3C92E" w14:textId="77777777" w:rsidR="003D1FE0" w:rsidRPr="003D1FE0" w:rsidRDefault="003D1FE0" w:rsidP="003D1FE0">
            <w:pPr>
              <w:widowControl/>
              <w:jc w:val="left"/>
              <w:rPr>
                <w:rFonts w:ascii="宋体" w:eastAsia="宋体" w:hAnsi="宋体" w:cs="宋体"/>
                <w:color w:val="FF0000"/>
                <w:kern w:val="0"/>
                <w:sz w:val="22"/>
              </w:rPr>
            </w:pPr>
            <w:r w:rsidRPr="003D1FE0">
              <w:rPr>
                <w:rFonts w:ascii="宋体" w:eastAsia="宋体" w:hAnsi="宋体" w:cs="宋体" w:hint="eastAsia"/>
                <w:color w:val="FF0000"/>
                <w:kern w:val="0"/>
                <w:sz w:val="22"/>
              </w:rPr>
              <w:t>泉州</w:t>
            </w:r>
          </w:p>
        </w:tc>
        <w:tc>
          <w:tcPr>
            <w:tcW w:w="1080" w:type="dxa"/>
            <w:tcBorders>
              <w:top w:val="nil"/>
              <w:left w:val="nil"/>
              <w:bottom w:val="single" w:sz="4" w:space="0" w:color="auto"/>
              <w:right w:val="single" w:sz="4" w:space="0" w:color="auto"/>
            </w:tcBorders>
            <w:shd w:val="clear" w:color="auto" w:fill="auto"/>
            <w:noWrap/>
            <w:vAlign w:val="bottom"/>
            <w:hideMark/>
          </w:tcPr>
          <w:p w14:paraId="20D9D9A8" w14:textId="77777777" w:rsidR="003D1FE0" w:rsidRPr="003D1FE0" w:rsidRDefault="003D1FE0" w:rsidP="003D1FE0">
            <w:pPr>
              <w:widowControl/>
              <w:jc w:val="right"/>
              <w:rPr>
                <w:rFonts w:ascii="宋体" w:eastAsia="宋体" w:hAnsi="宋体" w:cs="宋体"/>
                <w:color w:val="FF0000"/>
                <w:kern w:val="0"/>
                <w:sz w:val="22"/>
              </w:rPr>
            </w:pPr>
            <w:r w:rsidRPr="003D1FE0">
              <w:rPr>
                <w:rFonts w:ascii="宋体" w:eastAsia="宋体" w:hAnsi="宋体" w:cs="宋体" w:hint="eastAsia"/>
                <w:color w:val="FF0000"/>
                <w:kern w:val="0"/>
                <w:sz w:val="22"/>
              </w:rPr>
              <w:t>2.7</w:t>
            </w:r>
          </w:p>
        </w:tc>
        <w:tc>
          <w:tcPr>
            <w:tcW w:w="1080" w:type="dxa"/>
            <w:tcBorders>
              <w:top w:val="nil"/>
              <w:left w:val="nil"/>
              <w:bottom w:val="single" w:sz="4" w:space="0" w:color="auto"/>
              <w:right w:val="single" w:sz="4" w:space="0" w:color="auto"/>
            </w:tcBorders>
            <w:shd w:val="clear" w:color="auto" w:fill="auto"/>
            <w:noWrap/>
            <w:vAlign w:val="bottom"/>
            <w:hideMark/>
          </w:tcPr>
          <w:p w14:paraId="607FC3BE" w14:textId="77777777" w:rsidR="003D1FE0" w:rsidRPr="003D1FE0" w:rsidRDefault="003D1FE0" w:rsidP="003D1FE0">
            <w:pPr>
              <w:widowControl/>
              <w:jc w:val="right"/>
              <w:rPr>
                <w:rFonts w:ascii="宋体" w:eastAsia="宋体" w:hAnsi="宋体" w:cs="宋体"/>
                <w:color w:val="FF0000"/>
                <w:kern w:val="0"/>
                <w:sz w:val="22"/>
              </w:rPr>
            </w:pPr>
            <w:r w:rsidRPr="003D1FE0">
              <w:rPr>
                <w:rFonts w:ascii="宋体" w:eastAsia="宋体" w:hAnsi="宋体" w:cs="宋体" w:hint="eastAsia"/>
                <w:color w:val="FF0000"/>
                <w:kern w:val="0"/>
                <w:sz w:val="22"/>
              </w:rPr>
              <w:t>69%</w:t>
            </w:r>
          </w:p>
        </w:tc>
      </w:tr>
      <w:tr w:rsidR="003D1FE0" w:rsidRPr="003D1FE0" w14:paraId="4CA628C5"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315BA12C"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成都</w:t>
            </w:r>
          </w:p>
        </w:tc>
        <w:tc>
          <w:tcPr>
            <w:tcW w:w="1140" w:type="dxa"/>
            <w:tcBorders>
              <w:top w:val="nil"/>
              <w:left w:val="nil"/>
              <w:bottom w:val="single" w:sz="4" w:space="0" w:color="auto"/>
              <w:right w:val="single" w:sz="4" w:space="0" w:color="auto"/>
            </w:tcBorders>
            <w:shd w:val="clear" w:color="auto" w:fill="auto"/>
            <w:noWrap/>
            <w:vAlign w:val="bottom"/>
            <w:hideMark/>
          </w:tcPr>
          <w:p w14:paraId="2342DDAB"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3.1</w:t>
            </w:r>
          </w:p>
        </w:tc>
        <w:tc>
          <w:tcPr>
            <w:tcW w:w="1080" w:type="dxa"/>
            <w:tcBorders>
              <w:top w:val="nil"/>
              <w:left w:val="nil"/>
              <w:bottom w:val="single" w:sz="4" w:space="0" w:color="auto"/>
              <w:right w:val="single" w:sz="4" w:space="0" w:color="auto"/>
            </w:tcBorders>
            <w:shd w:val="clear" w:color="auto" w:fill="auto"/>
            <w:noWrap/>
            <w:vAlign w:val="bottom"/>
            <w:hideMark/>
          </w:tcPr>
          <w:p w14:paraId="573EA3F0"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16%</w:t>
            </w:r>
          </w:p>
        </w:tc>
        <w:tc>
          <w:tcPr>
            <w:tcW w:w="1080" w:type="dxa"/>
            <w:tcBorders>
              <w:top w:val="nil"/>
              <w:left w:val="nil"/>
              <w:bottom w:val="single" w:sz="4" w:space="0" w:color="auto"/>
              <w:right w:val="single" w:sz="4" w:space="0" w:color="auto"/>
            </w:tcBorders>
            <w:shd w:val="clear" w:color="000000" w:fill="FDE9D9"/>
            <w:noWrap/>
            <w:vAlign w:val="bottom"/>
            <w:hideMark/>
          </w:tcPr>
          <w:p w14:paraId="19241E95"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佛山</w:t>
            </w:r>
          </w:p>
        </w:tc>
        <w:tc>
          <w:tcPr>
            <w:tcW w:w="1080" w:type="dxa"/>
            <w:tcBorders>
              <w:top w:val="nil"/>
              <w:left w:val="nil"/>
              <w:bottom w:val="single" w:sz="4" w:space="0" w:color="auto"/>
              <w:right w:val="single" w:sz="4" w:space="0" w:color="auto"/>
            </w:tcBorders>
            <w:shd w:val="clear" w:color="auto" w:fill="auto"/>
            <w:noWrap/>
            <w:vAlign w:val="bottom"/>
            <w:hideMark/>
          </w:tcPr>
          <w:p w14:paraId="19B5FF4A"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5.5</w:t>
            </w:r>
          </w:p>
        </w:tc>
        <w:tc>
          <w:tcPr>
            <w:tcW w:w="1080" w:type="dxa"/>
            <w:tcBorders>
              <w:top w:val="nil"/>
              <w:left w:val="nil"/>
              <w:bottom w:val="single" w:sz="4" w:space="0" w:color="auto"/>
              <w:right w:val="single" w:sz="4" w:space="0" w:color="auto"/>
            </w:tcBorders>
            <w:shd w:val="clear" w:color="auto" w:fill="auto"/>
            <w:noWrap/>
            <w:vAlign w:val="bottom"/>
            <w:hideMark/>
          </w:tcPr>
          <w:p w14:paraId="760F8675"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37%</w:t>
            </w:r>
          </w:p>
        </w:tc>
      </w:tr>
      <w:tr w:rsidR="003D1FE0" w:rsidRPr="003D1FE0" w14:paraId="3AF1F1FD"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1D76E78F"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济南</w:t>
            </w:r>
          </w:p>
        </w:tc>
        <w:tc>
          <w:tcPr>
            <w:tcW w:w="1140" w:type="dxa"/>
            <w:tcBorders>
              <w:top w:val="nil"/>
              <w:left w:val="nil"/>
              <w:bottom w:val="single" w:sz="4" w:space="0" w:color="auto"/>
              <w:right w:val="single" w:sz="4" w:space="0" w:color="auto"/>
            </w:tcBorders>
            <w:shd w:val="clear" w:color="auto" w:fill="auto"/>
            <w:noWrap/>
            <w:vAlign w:val="bottom"/>
            <w:hideMark/>
          </w:tcPr>
          <w:p w14:paraId="759E1231"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3.5</w:t>
            </w:r>
          </w:p>
        </w:tc>
        <w:tc>
          <w:tcPr>
            <w:tcW w:w="1080" w:type="dxa"/>
            <w:tcBorders>
              <w:top w:val="nil"/>
              <w:left w:val="nil"/>
              <w:bottom w:val="single" w:sz="4" w:space="0" w:color="auto"/>
              <w:right w:val="single" w:sz="4" w:space="0" w:color="auto"/>
            </w:tcBorders>
            <w:shd w:val="clear" w:color="auto" w:fill="auto"/>
            <w:noWrap/>
            <w:vAlign w:val="bottom"/>
            <w:hideMark/>
          </w:tcPr>
          <w:p w14:paraId="4C2CD950"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54%</w:t>
            </w:r>
          </w:p>
        </w:tc>
        <w:tc>
          <w:tcPr>
            <w:tcW w:w="1080" w:type="dxa"/>
            <w:tcBorders>
              <w:top w:val="nil"/>
              <w:left w:val="nil"/>
              <w:bottom w:val="single" w:sz="4" w:space="0" w:color="auto"/>
              <w:right w:val="single" w:sz="4" w:space="0" w:color="auto"/>
            </w:tcBorders>
            <w:shd w:val="clear" w:color="000000" w:fill="FDE9D9"/>
            <w:noWrap/>
            <w:vAlign w:val="bottom"/>
            <w:hideMark/>
          </w:tcPr>
          <w:p w14:paraId="6F99A11C"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无锡</w:t>
            </w:r>
          </w:p>
        </w:tc>
        <w:tc>
          <w:tcPr>
            <w:tcW w:w="1080" w:type="dxa"/>
            <w:tcBorders>
              <w:top w:val="nil"/>
              <w:left w:val="nil"/>
              <w:bottom w:val="single" w:sz="4" w:space="0" w:color="auto"/>
              <w:right w:val="single" w:sz="4" w:space="0" w:color="auto"/>
            </w:tcBorders>
            <w:shd w:val="clear" w:color="auto" w:fill="auto"/>
            <w:noWrap/>
            <w:vAlign w:val="bottom"/>
            <w:hideMark/>
          </w:tcPr>
          <w:p w14:paraId="73C6A136"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5.5</w:t>
            </w:r>
          </w:p>
        </w:tc>
        <w:tc>
          <w:tcPr>
            <w:tcW w:w="1080" w:type="dxa"/>
            <w:tcBorders>
              <w:top w:val="nil"/>
              <w:left w:val="nil"/>
              <w:bottom w:val="single" w:sz="4" w:space="0" w:color="auto"/>
              <w:right w:val="single" w:sz="4" w:space="0" w:color="auto"/>
            </w:tcBorders>
            <w:shd w:val="clear" w:color="auto" w:fill="auto"/>
            <w:noWrap/>
            <w:vAlign w:val="bottom"/>
            <w:hideMark/>
          </w:tcPr>
          <w:p w14:paraId="26237FFE"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150%</w:t>
            </w:r>
          </w:p>
        </w:tc>
      </w:tr>
      <w:tr w:rsidR="003D1FE0" w:rsidRPr="003D1FE0" w14:paraId="77CD84FD"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6EDD5205"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厦门</w:t>
            </w:r>
          </w:p>
        </w:tc>
        <w:tc>
          <w:tcPr>
            <w:tcW w:w="1140" w:type="dxa"/>
            <w:tcBorders>
              <w:top w:val="nil"/>
              <w:left w:val="nil"/>
              <w:bottom w:val="single" w:sz="4" w:space="0" w:color="auto"/>
              <w:right w:val="single" w:sz="4" w:space="0" w:color="auto"/>
            </w:tcBorders>
            <w:shd w:val="clear" w:color="auto" w:fill="auto"/>
            <w:noWrap/>
            <w:vAlign w:val="bottom"/>
            <w:hideMark/>
          </w:tcPr>
          <w:p w14:paraId="3BA08539"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3.8</w:t>
            </w:r>
          </w:p>
        </w:tc>
        <w:tc>
          <w:tcPr>
            <w:tcW w:w="1080" w:type="dxa"/>
            <w:tcBorders>
              <w:top w:val="nil"/>
              <w:left w:val="nil"/>
              <w:bottom w:val="single" w:sz="4" w:space="0" w:color="auto"/>
              <w:right w:val="single" w:sz="4" w:space="0" w:color="auto"/>
            </w:tcBorders>
            <w:shd w:val="clear" w:color="auto" w:fill="auto"/>
            <w:noWrap/>
            <w:vAlign w:val="bottom"/>
            <w:hideMark/>
          </w:tcPr>
          <w:p w14:paraId="1823BBD8"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100%</w:t>
            </w:r>
          </w:p>
        </w:tc>
        <w:tc>
          <w:tcPr>
            <w:tcW w:w="1080" w:type="dxa"/>
            <w:tcBorders>
              <w:top w:val="nil"/>
              <w:left w:val="nil"/>
              <w:bottom w:val="single" w:sz="4" w:space="0" w:color="auto"/>
              <w:right w:val="single" w:sz="4" w:space="0" w:color="auto"/>
            </w:tcBorders>
            <w:shd w:val="clear" w:color="000000" w:fill="FDE9D9"/>
            <w:noWrap/>
            <w:vAlign w:val="bottom"/>
            <w:hideMark/>
          </w:tcPr>
          <w:p w14:paraId="2DEA02AB"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徐州</w:t>
            </w:r>
          </w:p>
        </w:tc>
        <w:tc>
          <w:tcPr>
            <w:tcW w:w="1080" w:type="dxa"/>
            <w:tcBorders>
              <w:top w:val="nil"/>
              <w:left w:val="nil"/>
              <w:bottom w:val="single" w:sz="4" w:space="0" w:color="auto"/>
              <w:right w:val="single" w:sz="4" w:space="0" w:color="auto"/>
            </w:tcBorders>
            <w:shd w:val="clear" w:color="auto" w:fill="auto"/>
            <w:noWrap/>
            <w:vAlign w:val="bottom"/>
            <w:hideMark/>
          </w:tcPr>
          <w:p w14:paraId="0575329E"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6.3</w:t>
            </w:r>
          </w:p>
        </w:tc>
        <w:tc>
          <w:tcPr>
            <w:tcW w:w="1080" w:type="dxa"/>
            <w:tcBorders>
              <w:top w:val="nil"/>
              <w:left w:val="nil"/>
              <w:bottom w:val="single" w:sz="4" w:space="0" w:color="auto"/>
              <w:right w:val="single" w:sz="4" w:space="0" w:color="auto"/>
            </w:tcBorders>
            <w:shd w:val="clear" w:color="auto" w:fill="auto"/>
            <w:noWrap/>
            <w:vAlign w:val="bottom"/>
            <w:hideMark/>
          </w:tcPr>
          <w:p w14:paraId="7C23785D"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184%</w:t>
            </w:r>
          </w:p>
        </w:tc>
      </w:tr>
      <w:tr w:rsidR="003D1FE0" w:rsidRPr="003D1FE0" w14:paraId="274B664C"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2273CBD5"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lastRenderedPageBreak/>
              <w:t>宁波</w:t>
            </w:r>
          </w:p>
        </w:tc>
        <w:tc>
          <w:tcPr>
            <w:tcW w:w="1140" w:type="dxa"/>
            <w:tcBorders>
              <w:top w:val="nil"/>
              <w:left w:val="nil"/>
              <w:bottom w:val="single" w:sz="4" w:space="0" w:color="auto"/>
              <w:right w:val="single" w:sz="4" w:space="0" w:color="auto"/>
            </w:tcBorders>
            <w:shd w:val="clear" w:color="auto" w:fill="auto"/>
            <w:noWrap/>
            <w:vAlign w:val="bottom"/>
            <w:hideMark/>
          </w:tcPr>
          <w:p w14:paraId="4F5F6FD6"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3.8</w:t>
            </w:r>
          </w:p>
        </w:tc>
        <w:tc>
          <w:tcPr>
            <w:tcW w:w="1080" w:type="dxa"/>
            <w:tcBorders>
              <w:top w:val="nil"/>
              <w:left w:val="nil"/>
              <w:bottom w:val="single" w:sz="4" w:space="0" w:color="auto"/>
              <w:right w:val="single" w:sz="4" w:space="0" w:color="auto"/>
            </w:tcBorders>
            <w:shd w:val="clear" w:color="auto" w:fill="auto"/>
            <w:noWrap/>
            <w:vAlign w:val="bottom"/>
            <w:hideMark/>
          </w:tcPr>
          <w:p w14:paraId="1B524D32"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117%</w:t>
            </w:r>
          </w:p>
        </w:tc>
        <w:tc>
          <w:tcPr>
            <w:tcW w:w="1080" w:type="dxa"/>
            <w:tcBorders>
              <w:top w:val="nil"/>
              <w:left w:val="nil"/>
              <w:bottom w:val="single" w:sz="4" w:space="0" w:color="auto"/>
              <w:right w:val="single" w:sz="4" w:space="0" w:color="auto"/>
            </w:tcBorders>
            <w:shd w:val="clear" w:color="000000" w:fill="FDE9D9"/>
            <w:noWrap/>
            <w:vAlign w:val="bottom"/>
            <w:hideMark/>
          </w:tcPr>
          <w:p w14:paraId="3F683295"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廊坊</w:t>
            </w:r>
          </w:p>
        </w:tc>
        <w:tc>
          <w:tcPr>
            <w:tcW w:w="1080" w:type="dxa"/>
            <w:tcBorders>
              <w:top w:val="nil"/>
              <w:left w:val="nil"/>
              <w:bottom w:val="single" w:sz="4" w:space="0" w:color="auto"/>
              <w:right w:val="single" w:sz="4" w:space="0" w:color="auto"/>
            </w:tcBorders>
            <w:shd w:val="clear" w:color="auto" w:fill="auto"/>
            <w:noWrap/>
            <w:vAlign w:val="bottom"/>
            <w:hideMark/>
          </w:tcPr>
          <w:p w14:paraId="1B69598B"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7.0</w:t>
            </w:r>
          </w:p>
        </w:tc>
        <w:tc>
          <w:tcPr>
            <w:tcW w:w="1080" w:type="dxa"/>
            <w:tcBorders>
              <w:top w:val="nil"/>
              <w:left w:val="nil"/>
              <w:bottom w:val="single" w:sz="4" w:space="0" w:color="auto"/>
              <w:right w:val="single" w:sz="4" w:space="0" w:color="auto"/>
            </w:tcBorders>
            <w:shd w:val="clear" w:color="auto" w:fill="auto"/>
            <w:noWrap/>
            <w:vAlign w:val="bottom"/>
            <w:hideMark/>
          </w:tcPr>
          <w:p w14:paraId="339CF40D"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18%</w:t>
            </w:r>
          </w:p>
        </w:tc>
      </w:tr>
      <w:tr w:rsidR="003D1FE0" w:rsidRPr="003D1FE0" w14:paraId="07794EC2"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12A047B4"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南京</w:t>
            </w:r>
          </w:p>
        </w:tc>
        <w:tc>
          <w:tcPr>
            <w:tcW w:w="1140" w:type="dxa"/>
            <w:tcBorders>
              <w:top w:val="nil"/>
              <w:left w:val="nil"/>
              <w:bottom w:val="single" w:sz="4" w:space="0" w:color="auto"/>
              <w:right w:val="single" w:sz="4" w:space="0" w:color="auto"/>
            </w:tcBorders>
            <w:shd w:val="clear" w:color="auto" w:fill="auto"/>
            <w:noWrap/>
            <w:vAlign w:val="bottom"/>
            <w:hideMark/>
          </w:tcPr>
          <w:p w14:paraId="29EB92EB"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3.9</w:t>
            </w:r>
          </w:p>
        </w:tc>
        <w:tc>
          <w:tcPr>
            <w:tcW w:w="1080" w:type="dxa"/>
            <w:tcBorders>
              <w:top w:val="nil"/>
              <w:left w:val="nil"/>
              <w:bottom w:val="single" w:sz="4" w:space="0" w:color="auto"/>
              <w:right w:val="single" w:sz="4" w:space="0" w:color="auto"/>
            </w:tcBorders>
            <w:shd w:val="clear" w:color="auto" w:fill="auto"/>
            <w:noWrap/>
            <w:vAlign w:val="bottom"/>
            <w:hideMark/>
          </w:tcPr>
          <w:p w14:paraId="4D7002A2"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56%</w:t>
            </w:r>
          </w:p>
        </w:tc>
        <w:tc>
          <w:tcPr>
            <w:tcW w:w="1080" w:type="dxa"/>
            <w:tcBorders>
              <w:top w:val="nil"/>
              <w:left w:val="nil"/>
              <w:bottom w:val="single" w:sz="4" w:space="0" w:color="auto"/>
              <w:right w:val="single" w:sz="4" w:space="0" w:color="auto"/>
            </w:tcBorders>
            <w:shd w:val="clear" w:color="000000" w:fill="FDE9D9"/>
            <w:noWrap/>
            <w:vAlign w:val="bottom"/>
            <w:hideMark/>
          </w:tcPr>
          <w:p w14:paraId="5D21E2B5"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洛阳</w:t>
            </w:r>
          </w:p>
        </w:tc>
        <w:tc>
          <w:tcPr>
            <w:tcW w:w="1080" w:type="dxa"/>
            <w:tcBorders>
              <w:top w:val="nil"/>
              <w:left w:val="nil"/>
              <w:bottom w:val="single" w:sz="4" w:space="0" w:color="auto"/>
              <w:right w:val="single" w:sz="4" w:space="0" w:color="auto"/>
            </w:tcBorders>
            <w:shd w:val="clear" w:color="auto" w:fill="auto"/>
            <w:noWrap/>
            <w:vAlign w:val="bottom"/>
            <w:hideMark/>
          </w:tcPr>
          <w:p w14:paraId="78031C22"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7.9</w:t>
            </w:r>
          </w:p>
        </w:tc>
        <w:tc>
          <w:tcPr>
            <w:tcW w:w="1080" w:type="dxa"/>
            <w:tcBorders>
              <w:top w:val="nil"/>
              <w:left w:val="nil"/>
              <w:bottom w:val="single" w:sz="4" w:space="0" w:color="auto"/>
              <w:right w:val="single" w:sz="4" w:space="0" w:color="auto"/>
            </w:tcBorders>
            <w:shd w:val="clear" w:color="auto" w:fill="auto"/>
            <w:noWrap/>
            <w:vAlign w:val="bottom"/>
            <w:hideMark/>
          </w:tcPr>
          <w:p w14:paraId="2A5B3126"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30%</w:t>
            </w:r>
          </w:p>
        </w:tc>
      </w:tr>
      <w:tr w:rsidR="003D1FE0" w:rsidRPr="003D1FE0" w14:paraId="74AA3F8D"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53CF14AF"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福州</w:t>
            </w:r>
          </w:p>
        </w:tc>
        <w:tc>
          <w:tcPr>
            <w:tcW w:w="1140" w:type="dxa"/>
            <w:tcBorders>
              <w:top w:val="nil"/>
              <w:left w:val="nil"/>
              <w:bottom w:val="single" w:sz="4" w:space="0" w:color="auto"/>
              <w:right w:val="single" w:sz="4" w:space="0" w:color="auto"/>
            </w:tcBorders>
            <w:shd w:val="clear" w:color="auto" w:fill="auto"/>
            <w:noWrap/>
            <w:vAlign w:val="bottom"/>
            <w:hideMark/>
          </w:tcPr>
          <w:p w14:paraId="4A595DDB"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4.0</w:t>
            </w:r>
          </w:p>
        </w:tc>
        <w:tc>
          <w:tcPr>
            <w:tcW w:w="1080" w:type="dxa"/>
            <w:tcBorders>
              <w:top w:val="nil"/>
              <w:left w:val="nil"/>
              <w:bottom w:val="single" w:sz="4" w:space="0" w:color="auto"/>
              <w:right w:val="single" w:sz="4" w:space="0" w:color="auto"/>
            </w:tcBorders>
            <w:shd w:val="clear" w:color="auto" w:fill="auto"/>
            <w:noWrap/>
            <w:vAlign w:val="bottom"/>
            <w:hideMark/>
          </w:tcPr>
          <w:p w14:paraId="6172840E"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114%</w:t>
            </w:r>
          </w:p>
        </w:tc>
        <w:tc>
          <w:tcPr>
            <w:tcW w:w="1080" w:type="dxa"/>
            <w:tcBorders>
              <w:top w:val="nil"/>
              <w:left w:val="nil"/>
              <w:bottom w:val="single" w:sz="4" w:space="0" w:color="auto"/>
              <w:right w:val="single" w:sz="4" w:space="0" w:color="auto"/>
            </w:tcBorders>
            <w:shd w:val="clear" w:color="000000" w:fill="FDE9D9"/>
            <w:noWrap/>
            <w:vAlign w:val="bottom"/>
            <w:hideMark/>
          </w:tcPr>
          <w:p w14:paraId="014103B4"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南通</w:t>
            </w:r>
          </w:p>
        </w:tc>
        <w:tc>
          <w:tcPr>
            <w:tcW w:w="1080" w:type="dxa"/>
            <w:tcBorders>
              <w:top w:val="nil"/>
              <w:left w:val="nil"/>
              <w:bottom w:val="single" w:sz="4" w:space="0" w:color="auto"/>
              <w:right w:val="single" w:sz="4" w:space="0" w:color="auto"/>
            </w:tcBorders>
            <w:shd w:val="clear" w:color="auto" w:fill="auto"/>
            <w:noWrap/>
            <w:vAlign w:val="bottom"/>
            <w:hideMark/>
          </w:tcPr>
          <w:p w14:paraId="3637B21C"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7.9</w:t>
            </w:r>
          </w:p>
        </w:tc>
        <w:tc>
          <w:tcPr>
            <w:tcW w:w="1080" w:type="dxa"/>
            <w:tcBorders>
              <w:top w:val="nil"/>
              <w:left w:val="nil"/>
              <w:bottom w:val="single" w:sz="4" w:space="0" w:color="auto"/>
              <w:right w:val="single" w:sz="4" w:space="0" w:color="auto"/>
            </w:tcBorders>
            <w:shd w:val="clear" w:color="auto" w:fill="auto"/>
            <w:noWrap/>
            <w:vAlign w:val="bottom"/>
            <w:hideMark/>
          </w:tcPr>
          <w:p w14:paraId="11B8ABFA"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14%</w:t>
            </w:r>
          </w:p>
        </w:tc>
      </w:tr>
      <w:tr w:rsidR="003D1FE0" w:rsidRPr="003D1FE0" w14:paraId="1ADA1E67"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42550B18"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西安</w:t>
            </w:r>
          </w:p>
        </w:tc>
        <w:tc>
          <w:tcPr>
            <w:tcW w:w="1140" w:type="dxa"/>
            <w:tcBorders>
              <w:top w:val="nil"/>
              <w:left w:val="nil"/>
              <w:bottom w:val="single" w:sz="4" w:space="0" w:color="auto"/>
              <w:right w:val="single" w:sz="4" w:space="0" w:color="auto"/>
            </w:tcBorders>
            <w:shd w:val="clear" w:color="auto" w:fill="auto"/>
            <w:noWrap/>
            <w:vAlign w:val="bottom"/>
            <w:hideMark/>
          </w:tcPr>
          <w:p w14:paraId="53976FC2"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4.3</w:t>
            </w:r>
          </w:p>
        </w:tc>
        <w:tc>
          <w:tcPr>
            <w:tcW w:w="1080" w:type="dxa"/>
            <w:tcBorders>
              <w:top w:val="nil"/>
              <w:left w:val="nil"/>
              <w:bottom w:val="single" w:sz="4" w:space="0" w:color="auto"/>
              <w:right w:val="single" w:sz="4" w:space="0" w:color="auto"/>
            </w:tcBorders>
            <w:shd w:val="clear" w:color="auto" w:fill="auto"/>
            <w:noWrap/>
            <w:vAlign w:val="bottom"/>
            <w:hideMark/>
          </w:tcPr>
          <w:p w14:paraId="73A74FB9"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37%</w:t>
            </w:r>
          </w:p>
        </w:tc>
        <w:tc>
          <w:tcPr>
            <w:tcW w:w="1080" w:type="dxa"/>
            <w:tcBorders>
              <w:top w:val="nil"/>
              <w:left w:val="nil"/>
              <w:bottom w:val="single" w:sz="4" w:space="0" w:color="auto"/>
              <w:right w:val="single" w:sz="4" w:space="0" w:color="auto"/>
            </w:tcBorders>
            <w:shd w:val="clear" w:color="000000" w:fill="FDE9D9"/>
            <w:noWrap/>
            <w:vAlign w:val="bottom"/>
            <w:hideMark/>
          </w:tcPr>
          <w:p w14:paraId="74AA5BC6"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东莞</w:t>
            </w:r>
          </w:p>
        </w:tc>
        <w:tc>
          <w:tcPr>
            <w:tcW w:w="1080" w:type="dxa"/>
            <w:tcBorders>
              <w:top w:val="nil"/>
              <w:left w:val="nil"/>
              <w:bottom w:val="single" w:sz="4" w:space="0" w:color="auto"/>
              <w:right w:val="single" w:sz="4" w:space="0" w:color="auto"/>
            </w:tcBorders>
            <w:shd w:val="clear" w:color="auto" w:fill="auto"/>
            <w:noWrap/>
            <w:vAlign w:val="bottom"/>
            <w:hideMark/>
          </w:tcPr>
          <w:p w14:paraId="468FA69A"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8.3</w:t>
            </w:r>
          </w:p>
        </w:tc>
        <w:tc>
          <w:tcPr>
            <w:tcW w:w="1080" w:type="dxa"/>
            <w:tcBorders>
              <w:top w:val="nil"/>
              <w:left w:val="nil"/>
              <w:bottom w:val="single" w:sz="4" w:space="0" w:color="auto"/>
              <w:right w:val="single" w:sz="4" w:space="0" w:color="auto"/>
            </w:tcBorders>
            <w:shd w:val="clear" w:color="auto" w:fill="auto"/>
            <w:noWrap/>
            <w:vAlign w:val="bottom"/>
            <w:hideMark/>
          </w:tcPr>
          <w:p w14:paraId="0FF73C89"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96%</w:t>
            </w:r>
          </w:p>
        </w:tc>
      </w:tr>
      <w:tr w:rsidR="003D1FE0" w:rsidRPr="003D1FE0" w14:paraId="267AEFD1"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3CCD0599"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郑州</w:t>
            </w:r>
          </w:p>
        </w:tc>
        <w:tc>
          <w:tcPr>
            <w:tcW w:w="1140" w:type="dxa"/>
            <w:tcBorders>
              <w:top w:val="nil"/>
              <w:left w:val="nil"/>
              <w:bottom w:val="single" w:sz="4" w:space="0" w:color="auto"/>
              <w:right w:val="single" w:sz="4" w:space="0" w:color="auto"/>
            </w:tcBorders>
            <w:shd w:val="clear" w:color="auto" w:fill="auto"/>
            <w:noWrap/>
            <w:vAlign w:val="bottom"/>
            <w:hideMark/>
          </w:tcPr>
          <w:p w14:paraId="205C908E"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5.5</w:t>
            </w:r>
          </w:p>
        </w:tc>
        <w:tc>
          <w:tcPr>
            <w:tcW w:w="1080" w:type="dxa"/>
            <w:tcBorders>
              <w:top w:val="nil"/>
              <w:left w:val="nil"/>
              <w:bottom w:val="single" w:sz="4" w:space="0" w:color="auto"/>
              <w:right w:val="single" w:sz="4" w:space="0" w:color="auto"/>
            </w:tcBorders>
            <w:shd w:val="clear" w:color="auto" w:fill="auto"/>
            <w:noWrap/>
            <w:vAlign w:val="bottom"/>
            <w:hideMark/>
          </w:tcPr>
          <w:p w14:paraId="1A22667D"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93%</w:t>
            </w:r>
          </w:p>
        </w:tc>
        <w:tc>
          <w:tcPr>
            <w:tcW w:w="1080" w:type="dxa"/>
            <w:tcBorders>
              <w:top w:val="nil"/>
              <w:left w:val="nil"/>
              <w:bottom w:val="single" w:sz="4" w:space="0" w:color="auto"/>
              <w:right w:val="single" w:sz="4" w:space="0" w:color="auto"/>
            </w:tcBorders>
            <w:shd w:val="clear" w:color="000000" w:fill="FDE9D9"/>
            <w:noWrap/>
            <w:vAlign w:val="bottom"/>
            <w:hideMark/>
          </w:tcPr>
          <w:p w14:paraId="34C28727"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惠州</w:t>
            </w:r>
          </w:p>
        </w:tc>
        <w:tc>
          <w:tcPr>
            <w:tcW w:w="1080" w:type="dxa"/>
            <w:tcBorders>
              <w:top w:val="nil"/>
              <w:left w:val="nil"/>
              <w:bottom w:val="single" w:sz="4" w:space="0" w:color="auto"/>
              <w:right w:val="single" w:sz="4" w:space="0" w:color="auto"/>
            </w:tcBorders>
            <w:shd w:val="clear" w:color="auto" w:fill="auto"/>
            <w:noWrap/>
            <w:vAlign w:val="bottom"/>
            <w:hideMark/>
          </w:tcPr>
          <w:p w14:paraId="25C7B06C"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9.9</w:t>
            </w:r>
          </w:p>
        </w:tc>
        <w:tc>
          <w:tcPr>
            <w:tcW w:w="1080" w:type="dxa"/>
            <w:tcBorders>
              <w:top w:val="nil"/>
              <w:left w:val="nil"/>
              <w:bottom w:val="single" w:sz="4" w:space="0" w:color="auto"/>
              <w:right w:val="single" w:sz="4" w:space="0" w:color="auto"/>
            </w:tcBorders>
            <w:shd w:val="clear" w:color="auto" w:fill="auto"/>
            <w:noWrap/>
            <w:vAlign w:val="bottom"/>
            <w:hideMark/>
          </w:tcPr>
          <w:p w14:paraId="78C7DD1F"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95%</w:t>
            </w:r>
          </w:p>
        </w:tc>
      </w:tr>
      <w:tr w:rsidR="003D1FE0" w:rsidRPr="003D1FE0" w14:paraId="7E4B5EEF" w14:textId="77777777" w:rsidTr="003D1FE0">
        <w:trPr>
          <w:trHeight w:val="270"/>
          <w:jc w:val="center"/>
        </w:trPr>
        <w:tc>
          <w:tcPr>
            <w:tcW w:w="1080" w:type="dxa"/>
            <w:tcBorders>
              <w:top w:val="nil"/>
              <w:left w:val="single" w:sz="4" w:space="0" w:color="auto"/>
              <w:bottom w:val="single" w:sz="4" w:space="0" w:color="auto"/>
              <w:right w:val="single" w:sz="4" w:space="0" w:color="auto"/>
            </w:tcBorders>
            <w:shd w:val="clear" w:color="000000" w:fill="DAEEF3"/>
            <w:noWrap/>
            <w:vAlign w:val="bottom"/>
            <w:hideMark/>
          </w:tcPr>
          <w:p w14:paraId="554EDAA6" w14:textId="77777777" w:rsidR="003D1FE0" w:rsidRPr="003D1FE0" w:rsidRDefault="003D1FE0" w:rsidP="003D1FE0">
            <w:pPr>
              <w:widowControl/>
              <w:jc w:val="left"/>
              <w:rPr>
                <w:rFonts w:ascii="宋体" w:eastAsia="宋体" w:hAnsi="宋体" w:cs="宋体"/>
                <w:color w:val="000000"/>
                <w:kern w:val="0"/>
                <w:sz w:val="22"/>
              </w:rPr>
            </w:pPr>
            <w:r w:rsidRPr="003D1FE0">
              <w:rPr>
                <w:rFonts w:ascii="宋体" w:eastAsia="宋体" w:hAnsi="宋体" w:cs="宋体" w:hint="eastAsia"/>
                <w:color w:val="000000"/>
                <w:kern w:val="0"/>
                <w:sz w:val="22"/>
              </w:rPr>
              <w:t>天津</w:t>
            </w:r>
          </w:p>
        </w:tc>
        <w:tc>
          <w:tcPr>
            <w:tcW w:w="1140" w:type="dxa"/>
            <w:tcBorders>
              <w:top w:val="nil"/>
              <w:left w:val="nil"/>
              <w:bottom w:val="single" w:sz="4" w:space="0" w:color="auto"/>
              <w:right w:val="single" w:sz="4" w:space="0" w:color="auto"/>
            </w:tcBorders>
            <w:shd w:val="clear" w:color="auto" w:fill="auto"/>
            <w:noWrap/>
            <w:vAlign w:val="bottom"/>
            <w:hideMark/>
          </w:tcPr>
          <w:p w14:paraId="4D26F536"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5.7</w:t>
            </w:r>
          </w:p>
        </w:tc>
        <w:tc>
          <w:tcPr>
            <w:tcW w:w="1080" w:type="dxa"/>
            <w:tcBorders>
              <w:top w:val="nil"/>
              <w:left w:val="nil"/>
              <w:bottom w:val="single" w:sz="4" w:space="0" w:color="auto"/>
              <w:right w:val="single" w:sz="4" w:space="0" w:color="auto"/>
            </w:tcBorders>
            <w:shd w:val="clear" w:color="auto" w:fill="auto"/>
            <w:noWrap/>
            <w:vAlign w:val="bottom"/>
            <w:hideMark/>
          </w:tcPr>
          <w:p w14:paraId="6A99E976" w14:textId="77777777" w:rsidR="003D1FE0" w:rsidRPr="003D1FE0" w:rsidRDefault="003D1FE0" w:rsidP="003D1FE0">
            <w:pPr>
              <w:widowControl/>
              <w:jc w:val="right"/>
              <w:rPr>
                <w:rFonts w:ascii="宋体" w:eastAsia="宋体" w:hAnsi="宋体" w:cs="宋体"/>
                <w:color w:val="000000"/>
                <w:kern w:val="0"/>
                <w:sz w:val="22"/>
              </w:rPr>
            </w:pPr>
            <w:r w:rsidRPr="003D1FE0">
              <w:rPr>
                <w:rFonts w:ascii="宋体" w:eastAsia="宋体" w:hAnsi="宋体" w:cs="宋体" w:hint="eastAsia"/>
                <w:color w:val="000000"/>
                <w:kern w:val="0"/>
                <w:sz w:val="22"/>
              </w:rPr>
              <w:t>44%</w:t>
            </w:r>
          </w:p>
        </w:tc>
        <w:tc>
          <w:tcPr>
            <w:tcW w:w="1080" w:type="dxa"/>
            <w:tcBorders>
              <w:top w:val="nil"/>
              <w:left w:val="nil"/>
              <w:bottom w:val="single" w:sz="4" w:space="0" w:color="auto"/>
              <w:right w:val="single" w:sz="4" w:space="0" w:color="auto"/>
            </w:tcBorders>
            <w:shd w:val="clear" w:color="000000" w:fill="FDE9D9"/>
            <w:noWrap/>
            <w:vAlign w:val="bottom"/>
            <w:hideMark/>
          </w:tcPr>
          <w:p w14:paraId="2D9E53B2" w14:textId="77777777" w:rsidR="003D1FE0" w:rsidRPr="003D1FE0" w:rsidRDefault="003D1FE0" w:rsidP="003D1FE0">
            <w:pPr>
              <w:widowControl/>
              <w:jc w:val="left"/>
              <w:rPr>
                <w:rFonts w:ascii="宋体" w:eastAsia="宋体" w:hAnsi="宋体" w:cs="宋体"/>
                <w:color w:val="00B050"/>
                <w:kern w:val="0"/>
                <w:sz w:val="22"/>
              </w:rPr>
            </w:pPr>
            <w:r w:rsidRPr="003D1FE0">
              <w:rPr>
                <w:rFonts w:ascii="宋体" w:eastAsia="宋体" w:hAnsi="宋体" w:cs="宋体" w:hint="eastAsia"/>
                <w:color w:val="00B050"/>
                <w:kern w:val="0"/>
                <w:sz w:val="22"/>
              </w:rPr>
              <w:t>珠海</w:t>
            </w:r>
          </w:p>
        </w:tc>
        <w:tc>
          <w:tcPr>
            <w:tcW w:w="1080" w:type="dxa"/>
            <w:tcBorders>
              <w:top w:val="nil"/>
              <w:left w:val="nil"/>
              <w:bottom w:val="single" w:sz="4" w:space="0" w:color="auto"/>
              <w:right w:val="single" w:sz="4" w:space="0" w:color="auto"/>
            </w:tcBorders>
            <w:shd w:val="clear" w:color="auto" w:fill="auto"/>
            <w:noWrap/>
            <w:vAlign w:val="bottom"/>
            <w:hideMark/>
          </w:tcPr>
          <w:p w14:paraId="2DFDA8DC" w14:textId="77777777" w:rsidR="003D1FE0" w:rsidRPr="003D1FE0" w:rsidRDefault="003D1FE0" w:rsidP="003D1FE0">
            <w:pPr>
              <w:widowControl/>
              <w:jc w:val="right"/>
              <w:rPr>
                <w:rFonts w:ascii="宋体" w:eastAsia="宋体" w:hAnsi="宋体" w:cs="宋体"/>
                <w:color w:val="00B050"/>
                <w:kern w:val="0"/>
                <w:sz w:val="22"/>
              </w:rPr>
            </w:pPr>
            <w:r w:rsidRPr="003D1FE0">
              <w:rPr>
                <w:rFonts w:ascii="宋体" w:eastAsia="宋体" w:hAnsi="宋体" w:cs="宋体" w:hint="eastAsia"/>
                <w:color w:val="00B050"/>
                <w:kern w:val="0"/>
                <w:sz w:val="22"/>
              </w:rPr>
              <w:t>12.4</w:t>
            </w:r>
          </w:p>
        </w:tc>
        <w:tc>
          <w:tcPr>
            <w:tcW w:w="1080" w:type="dxa"/>
            <w:tcBorders>
              <w:top w:val="nil"/>
              <w:left w:val="nil"/>
              <w:bottom w:val="single" w:sz="4" w:space="0" w:color="auto"/>
              <w:right w:val="single" w:sz="4" w:space="0" w:color="auto"/>
            </w:tcBorders>
            <w:shd w:val="clear" w:color="auto" w:fill="auto"/>
            <w:noWrap/>
            <w:vAlign w:val="bottom"/>
            <w:hideMark/>
          </w:tcPr>
          <w:p w14:paraId="7743C78D" w14:textId="77777777" w:rsidR="003D1FE0" w:rsidRPr="003D1FE0" w:rsidRDefault="003D1FE0" w:rsidP="003D1FE0">
            <w:pPr>
              <w:widowControl/>
              <w:jc w:val="right"/>
              <w:rPr>
                <w:rFonts w:ascii="宋体" w:eastAsia="宋体" w:hAnsi="宋体" w:cs="宋体"/>
                <w:color w:val="00B050"/>
                <w:kern w:val="0"/>
                <w:sz w:val="22"/>
              </w:rPr>
            </w:pPr>
            <w:r w:rsidRPr="003D1FE0">
              <w:rPr>
                <w:rFonts w:ascii="宋体" w:eastAsia="宋体" w:hAnsi="宋体" w:cs="宋体" w:hint="eastAsia"/>
                <w:color w:val="00B050"/>
                <w:kern w:val="0"/>
                <w:sz w:val="22"/>
              </w:rPr>
              <w:t>143%</w:t>
            </w:r>
          </w:p>
        </w:tc>
      </w:tr>
    </w:tbl>
    <w:p w14:paraId="6D053DD1" w14:textId="4BA0269C" w:rsidR="009833E9" w:rsidRPr="009833E9" w:rsidRDefault="009833E9" w:rsidP="009833E9">
      <w:pPr>
        <w:spacing w:line="440" w:lineRule="exact"/>
        <w:ind w:leftChars="100" w:left="210"/>
        <w:jc w:val="left"/>
        <w:rPr>
          <w:rFonts w:ascii="宋体" w:hAnsi="宋体"/>
          <w:bCs/>
          <w:sz w:val="20"/>
        </w:rPr>
      </w:pPr>
      <w:r w:rsidRPr="009833E9">
        <w:rPr>
          <w:rFonts w:ascii="宋体" w:hAnsi="宋体" w:hint="eastAsia"/>
          <w:bCs/>
          <w:sz w:val="20"/>
        </w:rPr>
        <w:t>注：合肥、成都、</w:t>
      </w:r>
      <w:r w:rsidR="00AE3169">
        <w:rPr>
          <w:rFonts w:ascii="宋体" w:hAnsi="宋体" w:hint="eastAsia"/>
          <w:bCs/>
          <w:sz w:val="20"/>
        </w:rPr>
        <w:t>郑州、</w:t>
      </w:r>
      <w:r w:rsidRPr="009833E9">
        <w:rPr>
          <w:rFonts w:ascii="宋体" w:hAnsi="宋体" w:hint="eastAsia"/>
          <w:bCs/>
          <w:sz w:val="20"/>
        </w:rPr>
        <w:t>洛阳、南通</w:t>
      </w:r>
      <w:r w:rsidR="001D1F06">
        <w:rPr>
          <w:rFonts w:ascii="宋体" w:hAnsi="宋体" w:hint="eastAsia"/>
          <w:bCs/>
          <w:sz w:val="20"/>
        </w:rPr>
        <w:t>、徐州</w:t>
      </w:r>
      <w:r w:rsidRPr="009833E9">
        <w:rPr>
          <w:rFonts w:ascii="宋体" w:hAnsi="宋体" w:hint="eastAsia"/>
          <w:bCs/>
          <w:sz w:val="20"/>
        </w:rPr>
        <w:t>等城市广义库存统计</w:t>
      </w:r>
      <w:r>
        <w:rPr>
          <w:rFonts w:ascii="宋体" w:hAnsi="宋体" w:hint="eastAsia"/>
          <w:bCs/>
          <w:sz w:val="20"/>
        </w:rPr>
        <w:t>区划</w:t>
      </w:r>
      <w:r w:rsidRPr="009833E9">
        <w:rPr>
          <w:rFonts w:ascii="宋体" w:hAnsi="宋体" w:hint="eastAsia"/>
          <w:bCs/>
          <w:sz w:val="20"/>
        </w:rPr>
        <w:t>范围与</w:t>
      </w:r>
      <w:r w:rsidR="00AE3169">
        <w:rPr>
          <w:rFonts w:ascii="宋体" w:hAnsi="宋体" w:hint="eastAsia"/>
          <w:bCs/>
          <w:sz w:val="20"/>
        </w:rPr>
        <w:t>市区范围</w:t>
      </w:r>
      <w:r w:rsidRPr="009833E9">
        <w:rPr>
          <w:rFonts w:ascii="宋体" w:hAnsi="宋体" w:hint="eastAsia"/>
          <w:bCs/>
          <w:sz w:val="20"/>
        </w:rPr>
        <w:t>不同，</w:t>
      </w:r>
      <w:r>
        <w:rPr>
          <w:rFonts w:ascii="宋体" w:hAnsi="宋体" w:hint="eastAsia"/>
          <w:bCs/>
          <w:sz w:val="20"/>
        </w:rPr>
        <w:t>对应</w:t>
      </w:r>
      <w:r w:rsidRPr="009833E9">
        <w:rPr>
          <w:rFonts w:ascii="宋体" w:hAnsi="宋体" w:hint="eastAsia"/>
          <w:bCs/>
          <w:sz w:val="20"/>
        </w:rPr>
        <w:t>住宅成交面积略有差异</w:t>
      </w:r>
    </w:p>
    <w:p w14:paraId="27310007" w14:textId="77777777" w:rsidR="003D1FE0" w:rsidRPr="00376503" w:rsidRDefault="003D1FE0" w:rsidP="003D1FE0">
      <w:pPr>
        <w:spacing w:line="440" w:lineRule="exact"/>
        <w:ind w:leftChars="100" w:left="210"/>
        <w:jc w:val="right"/>
        <w:rPr>
          <w:rFonts w:ascii="宋体" w:eastAsia="宋体" w:hAnsi="宋体"/>
          <w:sz w:val="24"/>
        </w:rPr>
      </w:pPr>
      <w:r w:rsidRPr="00A5742C">
        <w:rPr>
          <w:rFonts w:ascii="宋体" w:hAnsi="宋体" w:hint="eastAsia"/>
          <w:b/>
          <w:bCs/>
          <w:sz w:val="20"/>
        </w:rPr>
        <w:t>数据来源：CRIC</w:t>
      </w:r>
      <w:r w:rsidRPr="00376503">
        <w:rPr>
          <w:rFonts w:ascii="宋体" w:eastAsia="宋体" w:hAnsi="宋体" w:hint="eastAsia"/>
          <w:sz w:val="24"/>
        </w:rPr>
        <w:t xml:space="preserve"> </w:t>
      </w:r>
    </w:p>
    <w:p w14:paraId="0AEDB0EA" w14:textId="308593D7" w:rsidR="005562B3" w:rsidRPr="005562B3" w:rsidRDefault="005562B3" w:rsidP="005562B3">
      <w:pPr>
        <w:spacing w:beforeLines="100" w:before="312" w:afterLines="50" w:after="156"/>
        <w:jc w:val="center"/>
        <w:outlineLvl w:val="0"/>
        <w:rPr>
          <w:rFonts w:ascii="黑体" w:eastAsia="黑体" w:hAnsi="黑体"/>
          <w:b/>
          <w:bCs/>
          <w:sz w:val="32"/>
          <w:szCs w:val="32"/>
        </w:rPr>
      </w:pPr>
      <w:bookmarkStart w:id="36" w:name="_Toc128583532"/>
      <w:r w:rsidRPr="005562B3">
        <w:rPr>
          <w:rFonts w:ascii="黑体" w:eastAsia="黑体" w:hAnsi="黑体" w:hint="eastAsia"/>
          <w:b/>
          <w:bCs/>
          <w:sz w:val="32"/>
          <w:szCs w:val="32"/>
        </w:rPr>
        <w:t>三、</w:t>
      </w:r>
      <w:r w:rsidRPr="005562B3">
        <w:rPr>
          <w:rFonts w:ascii="黑体" w:eastAsia="黑体" w:hAnsi="黑体"/>
          <w:b/>
          <w:bCs/>
          <w:sz w:val="32"/>
          <w:szCs w:val="32"/>
        </w:rPr>
        <w:t>小面积一房</w:t>
      </w:r>
      <w:r w:rsidR="00E1323D">
        <w:rPr>
          <w:rFonts w:ascii="黑体" w:eastAsia="黑体" w:hAnsi="黑体" w:hint="eastAsia"/>
          <w:b/>
          <w:bCs/>
          <w:sz w:val="32"/>
          <w:szCs w:val="32"/>
        </w:rPr>
        <w:t>、</w:t>
      </w:r>
      <w:r w:rsidRPr="005562B3">
        <w:rPr>
          <w:rFonts w:ascii="黑体" w:eastAsia="黑体" w:hAnsi="黑体"/>
          <w:b/>
          <w:bCs/>
          <w:sz w:val="32"/>
          <w:szCs w:val="32"/>
        </w:rPr>
        <w:t>两房库存积压，</w:t>
      </w:r>
      <w:r>
        <w:rPr>
          <w:rFonts w:ascii="黑体" w:eastAsia="黑体" w:hAnsi="黑体" w:hint="eastAsia"/>
          <w:b/>
          <w:bCs/>
          <w:sz w:val="32"/>
          <w:szCs w:val="32"/>
        </w:rPr>
        <w:br/>
      </w:r>
      <w:r w:rsidRPr="005562B3">
        <w:rPr>
          <w:rFonts w:ascii="黑体" w:eastAsia="黑体" w:hAnsi="黑体" w:hint="eastAsia"/>
          <w:b/>
          <w:bCs/>
          <w:sz w:val="32"/>
          <w:szCs w:val="32"/>
        </w:rPr>
        <w:t>中</w:t>
      </w:r>
      <w:r w:rsidR="00E1323D">
        <w:rPr>
          <w:rFonts w:ascii="黑体" w:eastAsia="黑体" w:hAnsi="黑体"/>
          <w:b/>
          <w:bCs/>
          <w:sz w:val="32"/>
          <w:szCs w:val="32"/>
        </w:rPr>
        <w:t>大面积</w:t>
      </w:r>
      <w:r w:rsidRPr="005562B3">
        <w:rPr>
          <w:rFonts w:ascii="黑体" w:eastAsia="黑体" w:hAnsi="黑体"/>
          <w:b/>
          <w:bCs/>
          <w:sz w:val="32"/>
          <w:szCs w:val="32"/>
        </w:rPr>
        <w:t>三四房去化</w:t>
      </w:r>
      <w:r w:rsidR="00E1323D">
        <w:rPr>
          <w:rFonts w:ascii="黑体" w:eastAsia="黑体" w:hAnsi="黑体" w:hint="eastAsia"/>
          <w:b/>
          <w:bCs/>
          <w:sz w:val="32"/>
          <w:szCs w:val="32"/>
        </w:rPr>
        <w:t>相对</w:t>
      </w:r>
      <w:r w:rsidRPr="005562B3">
        <w:rPr>
          <w:rFonts w:ascii="黑体" w:eastAsia="黑体" w:hAnsi="黑体" w:hint="eastAsia"/>
          <w:b/>
          <w:bCs/>
          <w:sz w:val="32"/>
          <w:szCs w:val="32"/>
        </w:rPr>
        <w:t>顺畅</w:t>
      </w:r>
      <w:bookmarkEnd w:id="36"/>
    </w:p>
    <w:p w14:paraId="5BA8BE5F" w14:textId="7B22CCF2" w:rsidR="005562B3" w:rsidRDefault="005562B3" w:rsidP="005562B3">
      <w:pPr>
        <w:spacing w:line="440" w:lineRule="exact"/>
        <w:ind w:firstLineChars="200" w:firstLine="420"/>
        <w:rPr>
          <w:rFonts w:ascii="宋体" w:eastAsia="宋体" w:hAnsi="宋体" w:cs="Times New Roman"/>
        </w:rPr>
      </w:pPr>
      <w:r>
        <w:rPr>
          <w:rFonts w:ascii="宋体" w:eastAsia="宋体" w:hAnsi="宋体" w:cs="Times New Roman" w:hint="eastAsia"/>
        </w:rPr>
        <w:t>分面积段来看，</w:t>
      </w:r>
      <w:r>
        <w:rPr>
          <w:rFonts w:ascii="宋体" w:eastAsia="宋体" w:hAnsi="宋体" w:cs="Times New Roman"/>
        </w:rPr>
        <w:t>小</w:t>
      </w:r>
      <w:r>
        <w:rPr>
          <w:rFonts w:ascii="宋体" w:eastAsia="宋体" w:hAnsi="宋体" w:cs="Times New Roman" w:hint="eastAsia"/>
        </w:rPr>
        <w:t>面积</w:t>
      </w:r>
      <w:r>
        <w:rPr>
          <w:rFonts w:ascii="宋体" w:eastAsia="宋体" w:hAnsi="宋体" w:cs="Times New Roman"/>
        </w:rPr>
        <w:t>户型供需两弱，面临比大户型更</w:t>
      </w:r>
      <w:r>
        <w:rPr>
          <w:rFonts w:ascii="宋体" w:eastAsia="宋体" w:hAnsi="宋体" w:cs="Times New Roman" w:hint="eastAsia"/>
        </w:rPr>
        <w:t>显著</w:t>
      </w:r>
      <w:r>
        <w:rPr>
          <w:rFonts w:ascii="宋体" w:eastAsia="宋体" w:hAnsi="宋体" w:cs="Times New Roman"/>
        </w:rPr>
        <w:t>的去化压力，</w:t>
      </w:r>
      <w:r>
        <w:rPr>
          <w:rFonts w:ascii="宋体" w:eastAsia="宋体" w:hAnsi="宋体" w:cs="Times New Roman" w:hint="eastAsia"/>
        </w:rPr>
        <w:t>一二线</w:t>
      </w:r>
      <w:r>
        <w:rPr>
          <w:rFonts w:ascii="宋体" w:eastAsia="宋体" w:hAnsi="宋体" w:cs="Times New Roman"/>
        </w:rPr>
        <w:t>城市</w:t>
      </w:r>
      <w:r>
        <w:rPr>
          <w:rFonts w:ascii="宋体" w:eastAsia="宋体" w:hAnsi="宋体" w:cs="Times New Roman" w:hint="eastAsia"/>
        </w:rPr>
        <w:t>均</w:t>
      </w:r>
      <w:r>
        <w:rPr>
          <w:rFonts w:ascii="宋体" w:eastAsia="宋体" w:hAnsi="宋体" w:cs="Times New Roman"/>
        </w:rPr>
        <w:t>呈现小户型库存占比收缩，但</w:t>
      </w:r>
      <w:r>
        <w:rPr>
          <w:rFonts w:ascii="宋体" w:eastAsia="宋体" w:hAnsi="宋体" w:cs="Times New Roman" w:hint="eastAsia"/>
        </w:rPr>
        <w:t>消化周期在</w:t>
      </w:r>
      <w:r>
        <w:rPr>
          <w:rFonts w:ascii="宋体" w:eastAsia="宋体" w:hAnsi="宋体" w:cs="Times New Roman"/>
        </w:rPr>
        <w:t>快速攀升</w:t>
      </w:r>
      <w:r>
        <w:rPr>
          <w:rFonts w:ascii="宋体" w:eastAsia="宋体" w:hAnsi="宋体" w:cs="Times New Roman" w:hint="eastAsia"/>
        </w:rPr>
        <w:t>的</w:t>
      </w:r>
      <w:r>
        <w:rPr>
          <w:rFonts w:ascii="宋体" w:eastAsia="宋体" w:hAnsi="宋体" w:cs="Times New Roman"/>
        </w:rPr>
        <w:t>现象，</w:t>
      </w:r>
      <w:r>
        <w:rPr>
          <w:rFonts w:ascii="宋体" w:eastAsia="宋体" w:hAnsi="宋体" w:cs="Times New Roman" w:hint="eastAsia"/>
        </w:rPr>
        <w:t>而100-180</w:t>
      </w:r>
      <w:r w:rsidR="00F13738">
        <w:rPr>
          <w:rFonts w:ascii="宋体" w:eastAsia="宋体" w:hAnsi="宋体" w:cs="Times New Roman" w:hint="eastAsia"/>
        </w:rPr>
        <w:t>㎡</w:t>
      </w:r>
      <w:r>
        <w:rPr>
          <w:rFonts w:ascii="宋体" w:eastAsia="宋体" w:hAnsi="宋体" w:cs="Times New Roman" w:hint="eastAsia"/>
        </w:rPr>
        <w:t>中</w:t>
      </w:r>
      <w:r>
        <w:rPr>
          <w:rFonts w:ascii="宋体" w:eastAsia="宋体" w:hAnsi="宋体" w:cs="Times New Roman"/>
        </w:rPr>
        <w:t>大户型库存压力可控。</w:t>
      </w:r>
      <w:r>
        <w:rPr>
          <w:rFonts w:ascii="宋体" w:eastAsia="宋体" w:hAnsi="宋体" w:cs="Times New Roman" w:hint="eastAsia"/>
        </w:rPr>
        <w:t>三四线</w:t>
      </w:r>
      <w:r>
        <w:rPr>
          <w:rFonts w:ascii="宋体" w:eastAsia="宋体" w:hAnsi="宋体" w:cs="Times New Roman"/>
        </w:rPr>
        <w:t>库存全面承压，</w:t>
      </w:r>
      <w:r>
        <w:rPr>
          <w:rFonts w:ascii="宋体" w:eastAsia="宋体" w:hAnsi="宋体" w:cs="Times New Roman" w:hint="eastAsia"/>
        </w:rPr>
        <w:t>特别是80</w:t>
      </w:r>
      <w:r w:rsidR="00F13738">
        <w:rPr>
          <w:rFonts w:ascii="宋体" w:eastAsia="宋体" w:hAnsi="宋体" w:cs="Times New Roman" w:hint="eastAsia"/>
        </w:rPr>
        <w:t>㎡</w:t>
      </w:r>
      <w:r>
        <w:rPr>
          <w:rFonts w:ascii="宋体" w:eastAsia="宋体" w:hAnsi="宋体" w:cs="Times New Roman"/>
        </w:rPr>
        <w:t>以下</w:t>
      </w:r>
      <w:r>
        <w:rPr>
          <w:rFonts w:ascii="宋体" w:eastAsia="宋体" w:hAnsi="宋体" w:cs="Times New Roman" w:hint="eastAsia"/>
        </w:rPr>
        <w:t>、160</w:t>
      </w:r>
      <w:r w:rsidR="00F13738">
        <w:rPr>
          <w:rFonts w:ascii="宋体" w:eastAsia="宋体" w:hAnsi="宋体" w:cs="Times New Roman" w:hint="eastAsia"/>
        </w:rPr>
        <w:t>㎡</w:t>
      </w:r>
      <w:r>
        <w:rPr>
          <w:rFonts w:ascii="宋体" w:eastAsia="宋体" w:hAnsi="宋体" w:cs="Times New Roman"/>
        </w:rPr>
        <w:t>以上</w:t>
      </w:r>
      <w:r>
        <w:rPr>
          <w:rFonts w:ascii="宋体" w:eastAsia="宋体" w:hAnsi="宋体" w:cs="Times New Roman" w:hint="eastAsia"/>
        </w:rPr>
        <w:t>产品</w:t>
      </w:r>
      <w:r>
        <w:rPr>
          <w:rFonts w:ascii="宋体" w:eastAsia="宋体" w:hAnsi="宋体" w:cs="Times New Roman"/>
        </w:rPr>
        <w:t>消化周期超</w:t>
      </w:r>
      <w:r>
        <w:rPr>
          <w:rFonts w:ascii="宋体" w:eastAsia="宋体" w:hAnsi="宋体" w:cs="Times New Roman" w:hint="eastAsia"/>
        </w:rPr>
        <w:t>30个</w:t>
      </w:r>
      <w:r>
        <w:rPr>
          <w:rFonts w:ascii="宋体" w:eastAsia="宋体" w:hAnsi="宋体" w:cs="Times New Roman"/>
        </w:rPr>
        <w:t>月</w:t>
      </w:r>
      <w:r>
        <w:rPr>
          <w:rFonts w:ascii="宋体" w:eastAsia="宋体" w:hAnsi="宋体" w:cs="Times New Roman" w:hint="eastAsia"/>
        </w:rPr>
        <w:t>，去化压力不容小觑</w:t>
      </w:r>
      <w:r>
        <w:rPr>
          <w:rFonts w:ascii="宋体" w:eastAsia="宋体" w:hAnsi="宋体" w:cs="Times New Roman"/>
        </w:rPr>
        <w:t>。</w:t>
      </w:r>
    </w:p>
    <w:p w14:paraId="739C39A5" w14:textId="77777777" w:rsidR="005562B3" w:rsidRDefault="005562B3" w:rsidP="005562B3">
      <w:pPr>
        <w:spacing w:line="440" w:lineRule="exact"/>
        <w:ind w:firstLineChars="200" w:firstLine="420"/>
        <w:rPr>
          <w:rFonts w:ascii="宋体" w:eastAsia="宋体" w:hAnsi="宋体" w:cs="Times New Roman"/>
        </w:rPr>
      </w:pPr>
      <w:r>
        <w:rPr>
          <w:rFonts w:ascii="宋体" w:eastAsia="宋体" w:hAnsi="宋体" w:cs="Times New Roman" w:hint="eastAsia"/>
        </w:rPr>
        <w:t>分户型来看，一</w:t>
      </w:r>
      <w:r>
        <w:rPr>
          <w:rFonts w:ascii="宋体" w:eastAsia="宋体" w:hAnsi="宋体" w:cs="Times New Roman"/>
          <w:bCs/>
        </w:rPr>
        <w:t>房</w:t>
      </w:r>
      <w:r>
        <w:rPr>
          <w:rFonts w:ascii="宋体" w:eastAsia="宋体" w:hAnsi="宋体" w:cs="Times New Roman" w:hint="eastAsia"/>
          <w:bCs/>
        </w:rPr>
        <w:t>、</w:t>
      </w:r>
      <w:r>
        <w:rPr>
          <w:rFonts w:ascii="宋体" w:eastAsia="宋体" w:hAnsi="宋体" w:cs="Times New Roman"/>
          <w:bCs/>
        </w:rPr>
        <w:t>二房</w:t>
      </w:r>
      <w:r>
        <w:rPr>
          <w:rFonts w:ascii="宋体" w:eastAsia="宋体" w:hAnsi="宋体" w:cs="Times New Roman" w:hint="eastAsia"/>
          <w:bCs/>
        </w:rPr>
        <w:t>、五房及以上、别墅产品库存占比下降，但去化放缓更为明显，消化周期高企，去库存压力有增无减。而</w:t>
      </w:r>
      <w:r>
        <w:rPr>
          <w:rFonts w:ascii="宋体" w:eastAsia="宋体" w:hAnsi="宋体" w:cs="Times New Roman" w:hint="eastAsia"/>
        </w:rPr>
        <w:t>三房、四房市场供需主力地位</w:t>
      </w:r>
      <w:r>
        <w:rPr>
          <w:rFonts w:ascii="宋体" w:eastAsia="宋体" w:hAnsi="宋体" w:cs="Times New Roman"/>
        </w:rPr>
        <w:t>进一步巩固，</w:t>
      </w:r>
      <w:r>
        <w:rPr>
          <w:rFonts w:ascii="宋体" w:eastAsia="宋体" w:hAnsi="宋体" w:cs="Times New Roman" w:hint="eastAsia"/>
        </w:rPr>
        <w:t>库存去化压力相对可控。</w:t>
      </w:r>
    </w:p>
    <w:p w14:paraId="4B5C67CD" w14:textId="3901EB26" w:rsidR="005562B3" w:rsidRPr="00B44D37" w:rsidRDefault="00F13738" w:rsidP="00B44D37">
      <w:pPr>
        <w:pStyle w:val="00"/>
      </w:pPr>
      <w:bookmarkStart w:id="37" w:name="_Toc128583533"/>
      <w:r>
        <w:rPr>
          <w:rFonts w:hint="eastAsia"/>
        </w:rPr>
        <w:t>1，</w:t>
      </w:r>
      <w:r w:rsidR="005562B3" w:rsidRPr="00B44D37">
        <w:rPr>
          <w:rFonts w:hint="eastAsia"/>
        </w:rPr>
        <w:t>面积段：小面积产品供需两弱</w:t>
      </w:r>
      <w:r w:rsidR="005562B3" w:rsidRPr="00B44D37">
        <w:t>库存</w:t>
      </w:r>
      <w:r w:rsidR="005562B3" w:rsidRPr="00B44D37">
        <w:rPr>
          <w:rFonts w:hint="eastAsia"/>
        </w:rPr>
        <w:t>积压</w:t>
      </w:r>
      <w:r w:rsidR="005562B3" w:rsidRPr="00B44D37">
        <w:t>，</w:t>
      </w:r>
      <w:r w:rsidR="005562B3" w:rsidRPr="00B44D37">
        <w:rPr>
          <w:rFonts w:hint="eastAsia"/>
        </w:rPr>
        <w:t>中大户型</w:t>
      </w:r>
      <w:r w:rsidR="005562B3" w:rsidRPr="00B44D37">
        <w:t>表现更稳定</w:t>
      </w:r>
      <w:bookmarkEnd w:id="37"/>
    </w:p>
    <w:p w14:paraId="3306FCDD" w14:textId="284ED4A5" w:rsidR="005562B3" w:rsidRDefault="005562B3" w:rsidP="005562B3">
      <w:pPr>
        <w:spacing w:line="440" w:lineRule="exact"/>
        <w:ind w:firstLineChars="200" w:firstLine="420"/>
        <w:rPr>
          <w:rFonts w:ascii="宋体" w:eastAsia="宋体" w:hAnsi="宋体" w:cs="Times New Roman"/>
        </w:rPr>
      </w:pPr>
      <w:r>
        <w:rPr>
          <w:rFonts w:ascii="宋体" w:eastAsia="宋体" w:hAnsi="宋体" w:cs="Times New Roman" w:hint="eastAsia"/>
        </w:rPr>
        <w:t>分面积段来看，由于</w:t>
      </w:r>
      <w:r>
        <w:rPr>
          <w:rFonts w:ascii="宋体" w:eastAsia="宋体" w:hAnsi="宋体" w:cs="Times New Roman"/>
        </w:rPr>
        <w:t>小户型供需两弱，</w:t>
      </w:r>
      <w:r>
        <w:rPr>
          <w:rFonts w:ascii="宋体" w:eastAsia="宋体" w:hAnsi="宋体" w:cs="Times New Roman" w:hint="eastAsia"/>
        </w:rPr>
        <w:t>往往</w:t>
      </w:r>
      <w:r>
        <w:rPr>
          <w:rFonts w:ascii="宋体" w:eastAsia="宋体" w:hAnsi="宋体" w:cs="Times New Roman"/>
        </w:rPr>
        <w:t>面临比大户型更</w:t>
      </w:r>
      <w:r>
        <w:rPr>
          <w:rFonts w:ascii="宋体" w:eastAsia="宋体" w:hAnsi="宋体" w:cs="Times New Roman" w:hint="eastAsia"/>
        </w:rPr>
        <w:t>显著</w:t>
      </w:r>
      <w:r>
        <w:rPr>
          <w:rFonts w:ascii="宋体" w:eastAsia="宋体" w:hAnsi="宋体" w:cs="Times New Roman"/>
        </w:rPr>
        <w:t>的去化压力，</w:t>
      </w:r>
      <w:r w:rsidRPr="008E5D5F">
        <w:rPr>
          <w:rFonts w:ascii="宋体" w:eastAsia="宋体" w:hAnsi="宋体" w:cs="Times New Roman" w:hint="eastAsia"/>
        </w:rPr>
        <w:t>一线城市</w:t>
      </w:r>
      <w:r w:rsidRPr="008E5D5F">
        <w:rPr>
          <w:rFonts w:ascii="宋体" w:eastAsia="宋体" w:hAnsi="宋体" w:cs="Times New Roman"/>
        </w:rPr>
        <w:t>70</w:t>
      </w:r>
      <w:r w:rsidR="00F13738">
        <w:rPr>
          <w:rFonts w:ascii="宋体" w:eastAsia="宋体" w:hAnsi="宋体" w:cs="Times New Roman" w:hint="eastAsia"/>
        </w:rPr>
        <w:t>㎡</w:t>
      </w:r>
      <w:r w:rsidRPr="008E5D5F">
        <w:rPr>
          <w:rFonts w:ascii="宋体" w:eastAsia="宋体" w:hAnsi="宋体" w:cs="Times New Roman"/>
        </w:rPr>
        <w:t>以下、二线城市100</w:t>
      </w:r>
      <w:r w:rsidR="00F13738">
        <w:rPr>
          <w:rFonts w:ascii="宋体" w:eastAsia="宋体" w:hAnsi="宋体" w:cs="Times New Roman" w:hint="eastAsia"/>
        </w:rPr>
        <w:t>㎡</w:t>
      </w:r>
      <w:r w:rsidRPr="008E5D5F">
        <w:rPr>
          <w:rFonts w:ascii="宋体" w:eastAsia="宋体" w:hAnsi="宋体" w:cs="Times New Roman"/>
        </w:rPr>
        <w:t>以下</w:t>
      </w:r>
      <w:r>
        <w:rPr>
          <w:rFonts w:ascii="宋体" w:eastAsia="宋体" w:hAnsi="宋体" w:cs="Times New Roman" w:hint="eastAsia"/>
        </w:rPr>
        <w:t>尽管</w:t>
      </w:r>
      <w:r>
        <w:rPr>
          <w:rFonts w:ascii="宋体" w:eastAsia="宋体" w:hAnsi="宋体" w:cs="Times New Roman"/>
        </w:rPr>
        <w:t>库存占比收缩，但</w:t>
      </w:r>
      <w:r>
        <w:rPr>
          <w:rFonts w:ascii="宋体" w:eastAsia="宋体" w:hAnsi="宋体" w:cs="Times New Roman" w:hint="eastAsia"/>
        </w:rPr>
        <w:t>消化周期在</w:t>
      </w:r>
      <w:r>
        <w:rPr>
          <w:rFonts w:ascii="宋体" w:eastAsia="宋体" w:hAnsi="宋体" w:cs="Times New Roman"/>
        </w:rPr>
        <w:t>快速攀升，</w:t>
      </w:r>
      <w:r>
        <w:rPr>
          <w:rFonts w:ascii="宋体" w:eastAsia="宋体" w:hAnsi="宋体" w:cs="Times New Roman" w:hint="eastAsia"/>
        </w:rPr>
        <w:t>反观100-180</w:t>
      </w:r>
      <w:r w:rsidR="00F13738">
        <w:rPr>
          <w:rFonts w:ascii="宋体" w:eastAsia="宋体" w:hAnsi="宋体" w:cs="Times New Roman" w:hint="eastAsia"/>
        </w:rPr>
        <w:t>㎡</w:t>
      </w:r>
      <w:r>
        <w:rPr>
          <w:rFonts w:ascii="宋体" w:eastAsia="宋体" w:hAnsi="宋体" w:cs="Times New Roman"/>
        </w:rPr>
        <w:t>中间面积段改善类产品，尽管</w:t>
      </w:r>
      <w:r>
        <w:rPr>
          <w:rFonts w:ascii="宋体" w:eastAsia="宋体" w:hAnsi="宋体" w:cs="Times New Roman" w:hint="eastAsia"/>
        </w:rPr>
        <w:t>库存占比</w:t>
      </w:r>
      <w:r>
        <w:rPr>
          <w:rFonts w:ascii="宋体" w:eastAsia="宋体" w:hAnsi="宋体" w:cs="Times New Roman"/>
        </w:rPr>
        <w:t>增长，但消化周期</w:t>
      </w:r>
      <w:r>
        <w:rPr>
          <w:rFonts w:ascii="宋体" w:eastAsia="宋体" w:hAnsi="宋体" w:cs="Times New Roman" w:hint="eastAsia"/>
        </w:rPr>
        <w:t>基本</w:t>
      </w:r>
      <w:r>
        <w:rPr>
          <w:rFonts w:ascii="宋体" w:eastAsia="宋体" w:hAnsi="宋体" w:cs="Times New Roman"/>
        </w:rPr>
        <w:t>都在警戒线内</w:t>
      </w:r>
      <w:r>
        <w:rPr>
          <w:rFonts w:ascii="宋体" w:eastAsia="宋体" w:hAnsi="宋体" w:cs="Times New Roman" w:hint="eastAsia"/>
        </w:rPr>
        <w:t>，</w:t>
      </w:r>
      <w:r>
        <w:rPr>
          <w:rFonts w:ascii="宋体" w:eastAsia="宋体" w:hAnsi="宋体" w:cs="Times New Roman"/>
        </w:rPr>
        <w:t>库存压力可控。</w:t>
      </w:r>
      <w:r>
        <w:rPr>
          <w:rFonts w:ascii="宋体" w:eastAsia="宋体" w:hAnsi="宋体" w:cs="Times New Roman" w:hint="eastAsia"/>
        </w:rPr>
        <w:t>三四线</w:t>
      </w:r>
      <w:r>
        <w:rPr>
          <w:rFonts w:ascii="宋体" w:eastAsia="宋体" w:hAnsi="宋体" w:cs="Times New Roman"/>
        </w:rPr>
        <w:t>库存全面承压，</w:t>
      </w:r>
      <w:r>
        <w:rPr>
          <w:rFonts w:ascii="宋体" w:eastAsia="宋体" w:hAnsi="宋体" w:cs="Times New Roman" w:hint="eastAsia"/>
        </w:rPr>
        <w:t>80</w:t>
      </w:r>
      <w:r w:rsidR="00F13738">
        <w:rPr>
          <w:rFonts w:ascii="宋体" w:eastAsia="宋体" w:hAnsi="宋体" w:cs="Times New Roman" w:hint="eastAsia"/>
        </w:rPr>
        <w:t>㎡</w:t>
      </w:r>
      <w:r>
        <w:rPr>
          <w:rFonts w:ascii="宋体" w:eastAsia="宋体" w:hAnsi="宋体" w:cs="Times New Roman"/>
        </w:rPr>
        <w:t>以下</w:t>
      </w:r>
      <w:r>
        <w:rPr>
          <w:rFonts w:ascii="宋体" w:eastAsia="宋体" w:hAnsi="宋体" w:cs="Times New Roman" w:hint="eastAsia"/>
        </w:rPr>
        <w:t>、160</w:t>
      </w:r>
      <w:r w:rsidR="00F13738">
        <w:rPr>
          <w:rFonts w:ascii="宋体" w:eastAsia="宋体" w:hAnsi="宋体" w:cs="Times New Roman" w:hint="eastAsia"/>
        </w:rPr>
        <w:t>㎡</w:t>
      </w:r>
      <w:r>
        <w:rPr>
          <w:rFonts w:ascii="宋体" w:eastAsia="宋体" w:hAnsi="宋体" w:cs="Times New Roman"/>
        </w:rPr>
        <w:t>以上</w:t>
      </w:r>
      <w:r>
        <w:rPr>
          <w:rFonts w:ascii="宋体" w:eastAsia="宋体" w:hAnsi="宋体" w:cs="Times New Roman" w:hint="eastAsia"/>
        </w:rPr>
        <w:t>产品</w:t>
      </w:r>
      <w:r>
        <w:rPr>
          <w:rFonts w:ascii="宋体" w:eastAsia="宋体" w:hAnsi="宋体" w:cs="Times New Roman"/>
        </w:rPr>
        <w:t>尤为明显，消化周期超</w:t>
      </w:r>
      <w:r>
        <w:rPr>
          <w:rFonts w:ascii="宋体" w:eastAsia="宋体" w:hAnsi="宋体" w:cs="Times New Roman" w:hint="eastAsia"/>
        </w:rPr>
        <w:t>30个</w:t>
      </w:r>
      <w:r>
        <w:rPr>
          <w:rFonts w:ascii="宋体" w:eastAsia="宋体" w:hAnsi="宋体" w:cs="Times New Roman"/>
        </w:rPr>
        <w:t>月。</w:t>
      </w:r>
    </w:p>
    <w:p w14:paraId="2E1F7883" w14:textId="148F43E0" w:rsidR="005562B3" w:rsidRDefault="005562B3" w:rsidP="005562B3">
      <w:pPr>
        <w:spacing w:line="440" w:lineRule="exact"/>
        <w:jc w:val="left"/>
        <w:outlineLvl w:val="2"/>
        <w:rPr>
          <w:rFonts w:ascii="宋体" w:eastAsia="宋体" w:hAnsi="宋体" w:cs="方正兰亭中黑简体"/>
          <w:b/>
          <w:bCs/>
          <w:szCs w:val="21"/>
        </w:rPr>
      </w:pPr>
      <w:bookmarkStart w:id="38" w:name="_Toc128583534"/>
      <w:r>
        <w:rPr>
          <w:rFonts w:ascii="宋体" w:eastAsia="宋体" w:hAnsi="宋体" w:cs="方正兰亭中黑简体" w:hint="eastAsia"/>
          <w:b/>
          <w:bCs/>
          <w:szCs w:val="21"/>
        </w:rPr>
        <w:t>1</w:t>
      </w:r>
      <w:r w:rsidR="00F13738">
        <w:rPr>
          <w:rFonts w:ascii="宋体" w:eastAsia="宋体" w:hAnsi="宋体" w:cs="方正兰亭中黑简体" w:hint="eastAsia"/>
          <w:b/>
          <w:bCs/>
          <w:szCs w:val="21"/>
        </w:rPr>
        <w:t>）</w:t>
      </w:r>
      <w:r>
        <w:rPr>
          <w:rFonts w:ascii="宋体" w:eastAsia="宋体" w:hAnsi="宋体" w:cs="方正兰亭中黑简体" w:hint="eastAsia"/>
          <w:b/>
          <w:bCs/>
          <w:szCs w:val="21"/>
        </w:rPr>
        <w:t>、能级：小户型库存占比下降</w:t>
      </w:r>
      <w:r>
        <w:rPr>
          <w:rFonts w:ascii="宋体" w:eastAsia="宋体" w:hAnsi="宋体" w:cs="方正兰亭中黑简体"/>
          <w:b/>
          <w:bCs/>
          <w:szCs w:val="21"/>
        </w:rPr>
        <w:t>但消化周期拉长，</w:t>
      </w:r>
      <w:r>
        <w:rPr>
          <w:rFonts w:ascii="宋体" w:eastAsia="宋体" w:hAnsi="宋体" w:cs="方正兰亭中黑简体" w:hint="eastAsia"/>
          <w:b/>
          <w:bCs/>
          <w:szCs w:val="21"/>
        </w:rPr>
        <w:t>一二线1</w:t>
      </w:r>
      <w:r>
        <w:rPr>
          <w:rFonts w:ascii="宋体" w:eastAsia="宋体" w:hAnsi="宋体" w:cs="方正兰亭中黑简体"/>
          <w:b/>
          <w:bCs/>
          <w:szCs w:val="21"/>
        </w:rPr>
        <w:t>00-180</w:t>
      </w:r>
      <w:r w:rsidR="00F13738" w:rsidRPr="00F13738">
        <w:rPr>
          <w:rFonts w:ascii="宋体" w:eastAsia="宋体" w:hAnsi="宋体" w:cs="方正兰亭中黑简体" w:hint="eastAsia"/>
          <w:b/>
          <w:bCs/>
          <w:szCs w:val="21"/>
        </w:rPr>
        <w:t>㎡</w:t>
      </w:r>
      <w:r>
        <w:rPr>
          <w:rFonts w:ascii="宋体" w:eastAsia="宋体" w:hAnsi="宋体" w:cs="方正兰亭中黑简体" w:hint="eastAsia"/>
          <w:b/>
          <w:bCs/>
          <w:szCs w:val="21"/>
        </w:rPr>
        <w:t>去化</w:t>
      </w:r>
      <w:r>
        <w:rPr>
          <w:rFonts w:ascii="宋体" w:eastAsia="宋体" w:hAnsi="宋体" w:cs="方正兰亭中黑简体"/>
          <w:b/>
          <w:bCs/>
          <w:szCs w:val="21"/>
        </w:rPr>
        <w:t>压力更可控</w:t>
      </w:r>
      <w:bookmarkEnd w:id="38"/>
    </w:p>
    <w:p w14:paraId="405CCCF2" w14:textId="38C89058" w:rsidR="005562B3" w:rsidRDefault="005562B3" w:rsidP="005562B3">
      <w:pPr>
        <w:spacing w:line="440" w:lineRule="exact"/>
        <w:jc w:val="left"/>
        <w:outlineLvl w:val="3"/>
        <w:rPr>
          <w:rFonts w:ascii="宋体" w:eastAsia="宋体" w:hAnsi="宋体" w:cs="方正兰亭中黑简体"/>
          <w:b/>
          <w:bCs/>
          <w:szCs w:val="21"/>
        </w:rPr>
      </w:pPr>
      <w:r>
        <w:rPr>
          <w:rFonts w:ascii="宋体" w:eastAsia="宋体" w:hAnsi="宋体" w:cs="方正兰亭中黑简体" w:hint="eastAsia"/>
          <w:b/>
          <w:bCs/>
          <w:szCs w:val="21"/>
        </w:rPr>
        <w:t>（1）</w:t>
      </w:r>
      <w:r>
        <w:rPr>
          <w:rFonts w:ascii="宋体" w:eastAsia="宋体" w:hAnsi="宋体" w:cs="方正兰亭中黑简体"/>
          <w:b/>
          <w:bCs/>
          <w:szCs w:val="21"/>
        </w:rPr>
        <w:t>一线</w:t>
      </w:r>
      <w:r>
        <w:rPr>
          <w:rFonts w:ascii="宋体" w:eastAsia="宋体" w:hAnsi="宋体" w:cs="方正兰亭中黑简体" w:hint="eastAsia"/>
          <w:b/>
          <w:bCs/>
          <w:szCs w:val="21"/>
        </w:rPr>
        <w:t>70</w:t>
      </w:r>
      <w:r w:rsidR="00F13738">
        <w:rPr>
          <w:rFonts w:ascii="宋体" w:eastAsia="宋体" w:hAnsi="宋体" w:cs="方正兰亭中黑简体" w:hint="eastAsia"/>
          <w:b/>
          <w:bCs/>
          <w:szCs w:val="21"/>
        </w:rPr>
        <w:t>㎡以上</w:t>
      </w:r>
      <w:r>
        <w:rPr>
          <w:rFonts w:ascii="宋体" w:eastAsia="宋体" w:hAnsi="宋体" w:cs="方正兰亭中黑简体" w:hint="eastAsia"/>
          <w:b/>
          <w:bCs/>
          <w:szCs w:val="21"/>
        </w:rPr>
        <w:t>占比下降，二线120-140</w:t>
      </w:r>
      <w:r w:rsidR="00F13738">
        <w:rPr>
          <w:rFonts w:ascii="宋体" w:eastAsia="宋体" w:hAnsi="宋体" w:cs="方正兰亭中黑简体" w:hint="eastAsia"/>
          <w:b/>
          <w:bCs/>
          <w:szCs w:val="21"/>
        </w:rPr>
        <w:t>㎡</w:t>
      </w:r>
      <w:r>
        <w:rPr>
          <w:rFonts w:ascii="宋体" w:eastAsia="宋体" w:hAnsi="宋体" w:cs="方正兰亭中黑简体" w:hint="eastAsia"/>
          <w:b/>
          <w:bCs/>
          <w:szCs w:val="21"/>
        </w:rPr>
        <w:t>占比增加</w:t>
      </w:r>
      <w:r>
        <w:rPr>
          <w:rFonts w:ascii="宋体" w:eastAsia="宋体" w:hAnsi="宋体" w:cs="方正兰亭中黑简体"/>
          <w:b/>
          <w:bCs/>
          <w:szCs w:val="21"/>
        </w:rPr>
        <w:t>，三四线</w:t>
      </w:r>
      <w:r>
        <w:rPr>
          <w:rFonts w:ascii="宋体" w:eastAsia="宋体" w:hAnsi="宋体" w:cs="方正兰亭中黑简体" w:hint="eastAsia"/>
          <w:b/>
          <w:bCs/>
          <w:szCs w:val="21"/>
        </w:rPr>
        <w:t>持稳100-140</w:t>
      </w:r>
      <w:r w:rsidR="00F13738">
        <w:rPr>
          <w:rFonts w:ascii="宋体" w:eastAsia="宋体" w:hAnsi="宋体" w:cs="方正兰亭中黑简体" w:hint="eastAsia"/>
          <w:b/>
          <w:bCs/>
          <w:szCs w:val="21"/>
        </w:rPr>
        <w:t>㎡</w:t>
      </w:r>
      <w:r>
        <w:rPr>
          <w:rFonts w:ascii="宋体" w:eastAsia="宋体" w:hAnsi="宋体" w:cs="方正兰亭中黑简体" w:hint="eastAsia"/>
          <w:b/>
          <w:bCs/>
          <w:szCs w:val="21"/>
        </w:rPr>
        <w:t>仍最多</w:t>
      </w:r>
      <w:r w:rsidR="005D371E">
        <w:rPr>
          <w:rFonts w:ascii="宋体" w:eastAsia="宋体" w:hAnsi="宋体" w:cs="方正兰亭中黑简体" w:hint="eastAsia"/>
          <w:b/>
          <w:bCs/>
          <w:szCs w:val="21"/>
        </w:rPr>
        <w:t>（略）</w:t>
      </w:r>
    </w:p>
    <w:p w14:paraId="6750976D" w14:textId="77777777" w:rsidR="005562B3" w:rsidRDefault="005562B3" w:rsidP="005562B3">
      <w:pPr>
        <w:spacing w:line="400" w:lineRule="exact"/>
        <w:jc w:val="center"/>
        <w:rPr>
          <w:rFonts w:ascii="宋体" w:eastAsia="宋体" w:hAnsi="宋体" w:cs="Times New Roman"/>
          <w:b/>
        </w:rPr>
      </w:pPr>
      <w:r>
        <w:rPr>
          <w:rFonts w:ascii="宋体" w:eastAsia="宋体" w:hAnsi="宋体" w:cs="Times New Roman" w:hint="eastAsia"/>
          <w:b/>
        </w:rPr>
        <w:t>图：2022年末</w:t>
      </w:r>
      <w:r>
        <w:rPr>
          <w:rFonts w:ascii="宋体" w:eastAsia="宋体" w:hAnsi="宋体" w:cs="Times New Roman"/>
          <w:b/>
        </w:rPr>
        <w:t>各能级城市</w:t>
      </w:r>
      <w:r>
        <w:rPr>
          <w:rFonts w:ascii="宋体" w:eastAsia="宋体" w:hAnsi="宋体" w:cs="Times New Roman" w:hint="eastAsia"/>
          <w:b/>
        </w:rPr>
        <w:t>分面积段狭义库存</w:t>
      </w:r>
      <w:r>
        <w:rPr>
          <w:rFonts w:ascii="宋体" w:eastAsia="宋体" w:hAnsi="宋体" w:cs="Times New Roman"/>
          <w:b/>
        </w:rPr>
        <w:t>占比</w:t>
      </w:r>
    </w:p>
    <w:p w14:paraId="19CE30F4" w14:textId="77777777" w:rsidR="005562B3" w:rsidRDefault="005562B3" w:rsidP="005562B3">
      <w:pPr>
        <w:adjustRightInd w:val="0"/>
        <w:snapToGrid w:val="0"/>
        <w:spacing w:beforeLines="50" w:before="156"/>
        <w:ind w:right="132"/>
        <w:jc w:val="right"/>
        <w:rPr>
          <w:rFonts w:ascii="宋体" w:eastAsia="宋体" w:hAnsi="宋体" w:cs="Arial"/>
          <w:szCs w:val="21"/>
        </w:rPr>
      </w:pPr>
      <w:r>
        <w:rPr>
          <w:noProof/>
        </w:rPr>
        <w:lastRenderedPageBreak/>
        <w:drawing>
          <wp:inline distT="0" distB="0" distL="0" distR="0" wp14:anchorId="7B686752" wp14:editId="6F50AE65">
            <wp:extent cx="5223510" cy="2472055"/>
            <wp:effectExtent l="0" t="0" r="0" b="444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38B9E4" w14:textId="51DE5DC1" w:rsidR="005562B3" w:rsidRPr="00B44D37" w:rsidRDefault="005562B3" w:rsidP="00B44D37">
      <w:pPr>
        <w:spacing w:line="440" w:lineRule="exact"/>
        <w:ind w:leftChars="100" w:left="210"/>
        <w:jc w:val="right"/>
        <w:rPr>
          <w:rFonts w:ascii="宋体" w:hAnsi="宋体"/>
          <w:b/>
          <w:bCs/>
          <w:sz w:val="20"/>
        </w:rPr>
      </w:pPr>
      <w:r w:rsidRPr="00B44D37">
        <w:rPr>
          <w:rFonts w:ascii="宋体" w:hAnsi="宋体" w:hint="eastAsia"/>
          <w:b/>
          <w:bCs/>
          <w:sz w:val="20"/>
        </w:rPr>
        <w:t>数据来源：CRIC</w:t>
      </w:r>
      <w:r w:rsidR="00B44D37" w:rsidRPr="00B44D37">
        <w:rPr>
          <w:rFonts w:ascii="宋体" w:hAnsi="宋体"/>
          <w:b/>
          <w:bCs/>
          <w:sz w:val="20"/>
        </w:rPr>
        <w:t xml:space="preserve"> </w:t>
      </w:r>
    </w:p>
    <w:p w14:paraId="19400A9D" w14:textId="77777777" w:rsidR="005562B3" w:rsidRDefault="005562B3" w:rsidP="005562B3">
      <w:pPr>
        <w:spacing w:line="400" w:lineRule="exact"/>
        <w:jc w:val="center"/>
        <w:rPr>
          <w:rFonts w:ascii="宋体" w:eastAsia="宋体" w:hAnsi="宋体" w:cs="Times New Roman"/>
          <w:b/>
        </w:rPr>
      </w:pPr>
      <w:r>
        <w:rPr>
          <w:rFonts w:ascii="宋体" w:eastAsia="宋体" w:hAnsi="宋体" w:cs="Times New Roman" w:hint="eastAsia"/>
          <w:b/>
        </w:rPr>
        <w:t>图：2022年末</w:t>
      </w:r>
      <w:r>
        <w:rPr>
          <w:rFonts w:ascii="宋体" w:eastAsia="宋体" w:hAnsi="宋体" w:cs="Times New Roman"/>
          <w:b/>
        </w:rPr>
        <w:t>各能级城市</w:t>
      </w:r>
      <w:r>
        <w:rPr>
          <w:rFonts w:ascii="宋体" w:eastAsia="宋体" w:hAnsi="宋体" w:cs="Times New Roman" w:hint="eastAsia"/>
          <w:b/>
        </w:rPr>
        <w:t>分面积段狭义库存占比</w:t>
      </w:r>
      <w:r>
        <w:rPr>
          <w:rFonts w:ascii="宋体" w:eastAsia="宋体" w:hAnsi="宋体" w:cs="Times New Roman"/>
          <w:b/>
        </w:rPr>
        <w:t>同比变化（</w:t>
      </w:r>
      <w:r>
        <w:rPr>
          <w:rFonts w:ascii="宋体" w:eastAsia="宋体" w:hAnsi="宋体" w:cs="Times New Roman" w:hint="eastAsia"/>
          <w:b/>
        </w:rPr>
        <w:t>百分点</w:t>
      </w:r>
      <w:r>
        <w:rPr>
          <w:rFonts w:ascii="宋体" w:eastAsia="宋体" w:hAnsi="宋体" w:cs="Times New Roman"/>
          <w:b/>
        </w:rPr>
        <w:t>）</w:t>
      </w:r>
    </w:p>
    <w:tbl>
      <w:tblPr>
        <w:tblW w:w="10964" w:type="dxa"/>
        <w:jc w:val="center"/>
        <w:tblLook w:val="04A0" w:firstRow="1" w:lastRow="0" w:firstColumn="1" w:lastColumn="0" w:noHBand="0" w:noVBand="1"/>
      </w:tblPr>
      <w:tblGrid>
        <w:gridCol w:w="1088"/>
        <w:gridCol w:w="1088"/>
        <w:gridCol w:w="1088"/>
        <w:gridCol w:w="1088"/>
        <w:gridCol w:w="1088"/>
        <w:gridCol w:w="1109"/>
        <w:gridCol w:w="1109"/>
        <w:gridCol w:w="1109"/>
        <w:gridCol w:w="1109"/>
        <w:gridCol w:w="1088"/>
      </w:tblGrid>
      <w:tr w:rsidR="005562B3" w14:paraId="4CE27A79" w14:textId="77777777" w:rsidTr="00B44D37">
        <w:trPr>
          <w:trHeight w:val="330"/>
          <w:jc w:val="center"/>
        </w:trPr>
        <w:tc>
          <w:tcPr>
            <w:tcW w:w="1088" w:type="dxa"/>
            <w:tcBorders>
              <w:top w:val="single" w:sz="4" w:space="0" w:color="auto"/>
              <w:left w:val="nil"/>
              <w:bottom w:val="single" w:sz="4" w:space="0" w:color="auto"/>
              <w:right w:val="single" w:sz="4" w:space="0" w:color="auto"/>
            </w:tcBorders>
            <w:shd w:val="clear" w:color="000000" w:fill="44A89A"/>
            <w:noWrap/>
            <w:vAlign w:val="center"/>
          </w:tcPr>
          <w:p w14:paraId="48E3F802"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能级</w:t>
            </w:r>
          </w:p>
        </w:tc>
        <w:tc>
          <w:tcPr>
            <w:tcW w:w="1088" w:type="dxa"/>
            <w:tcBorders>
              <w:top w:val="single" w:sz="4" w:space="0" w:color="auto"/>
              <w:left w:val="nil"/>
              <w:bottom w:val="single" w:sz="4" w:space="0" w:color="auto"/>
              <w:right w:val="single" w:sz="4" w:space="0" w:color="auto"/>
            </w:tcBorders>
            <w:shd w:val="clear" w:color="000000" w:fill="44A89A"/>
            <w:noWrap/>
            <w:vAlign w:val="center"/>
          </w:tcPr>
          <w:p w14:paraId="6CAE4FCC"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70以下</w:t>
            </w:r>
          </w:p>
        </w:tc>
        <w:tc>
          <w:tcPr>
            <w:tcW w:w="1088" w:type="dxa"/>
            <w:tcBorders>
              <w:top w:val="single" w:sz="4" w:space="0" w:color="auto"/>
              <w:left w:val="nil"/>
              <w:bottom w:val="single" w:sz="4" w:space="0" w:color="auto"/>
              <w:right w:val="single" w:sz="4" w:space="0" w:color="auto"/>
            </w:tcBorders>
            <w:shd w:val="clear" w:color="000000" w:fill="44A89A"/>
            <w:noWrap/>
            <w:vAlign w:val="center"/>
          </w:tcPr>
          <w:p w14:paraId="7638349A"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70-80</w:t>
            </w:r>
          </w:p>
        </w:tc>
        <w:tc>
          <w:tcPr>
            <w:tcW w:w="1088" w:type="dxa"/>
            <w:tcBorders>
              <w:top w:val="single" w:sz="4" w:space="0" w:color="auto"/>
              <w:left w:val="nil"/>
              <w:bottom w:val="single" w:sz="4" w:space="0" w:color="auto"/>
              <w:right w:val="single" w:sz="4" w:space="0" w:color="auto"/>
            </w:tcBorders>
            <w:shd w:val="clear" w:color="000000" w:fill="44A89A"/>
            <w:noWrap/>
            <w:vAlign w:val="center"/>
          </w:tcPr>
          <w:p w14:paraId="6546DC92"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80-90</w:t>
            </w:r>
          </w:p>
        </w:tc>
        <w:tc>
          <w:tcPr>
            <w:tcW w:w="1088" w:type="dxa"/>
            <w:tcBorders>
              <w:top w:val="single" w:sz="4" w:space="0" w:color="auto"/>
              <w:left w:val="nil"/>
              <w:bottom w:val="single" w:sz="4" w:space="0" w:color="auto"/>
              <w:right w:val="single" w:sz="4" w:space="0" w:color="auto"/>
            </w:tcBorders>
            <w:shd w:val="clear" w:color="000000" w:fill="44A89A"/>
            <w:noWrap/>
            <w:vAlign w:val="center"/>
          </w:tcPr>
          <w:p w14:paraId="6A88CB24"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90-100</w:t>
            </w:r>
          </w:p>
        </w:tc>
        <w:tc>
          <w:tcPr>
            <w:tcW w:w="1109" w:type="dxa"/>
            <w:tcBorders>
              <w:top w:val="single" w:sz="4" w:space="0" w:color="auto"/>
              <w:left w:val="nil"/>
              <w:bottom w:val="single" w:sz="4" w:space="0" w:color="auto"/>
              <w:right w:val="single" w:sz="4" w:space="0" w:color="auto"/>
            </w:tcBorders>
            <w:shd w:val="clear" w:color="000000" w:fill="44A89A"/>
            <w:noWrap/>
            <w:vAlign w:val="center"/>
          </w:tcPr>
          <w:p w14:paraId="1CE618D2"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100-120</w:t>
            </w:r>
          </w:p>
        </w:tc>
        <w:tc>
          <w:tcPr>
            <w:tcW w:w="1109" w:type="dxa"/>
            <w:tcBorders>
              <w:top w:val="single" w:sz="4" w:space="0" w:color="auto"/>
              <w:left w:val="nil"/>
              <w:bottom w:val="single" w:sz="4" w:space="0" w:color="auto"/>
              <w:right w:val="single" w:sz="4" w:space="0" w:color="auto"/>
            </w:tcBorders>
            <w:shd w:val="clear" w:color="000000" w:fill="44A89A"/>
            <w:noWrap/>
            <w:vAlign w:val="center"/>
          </w:tcPr>
          <w:p w14:paraId="4252E39D"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120-140</w:t>
            </w:r>
          </w:p>
        </w:tc>
        <w:tc>
          <w:tcPr>
            <w:tcW w:w="1109" w:type="dxa"/>
            <w:tcBorders>
              <w:top w:val="single" w:sz="4" w:space="0" w:color="auto"/>
              <w:left w:val="nil"/>
              <w:bottom w:val="single" w:sz="4" w:space="0" w:color="auto"/>
              <w:right w:val="single" w:sz="4" w:space="0" w:color="auto"/>
            </w:tcBorders>
            <w:shd w:val="clear" w:color="000000" w:fill="44A89A"/>
            <w:noWrap/>
            <w:vAlign w:val="center"/>
          </w:tcPr>
          <w:p w14:paraId="00F2E823"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140-160</w:t>
            </w:r>
          </w:p>
        </w:tc>
        <w:tc>
          <w:tcPr>
            <w:tcW w:w="1109" w:type="dxa"/>
            <w:tcBorders>
              <w:top w:val="single" w:sz="4" w:space="0" w:color="auto"/>
              <w:left w:val="nil"/>
              <w:bottom w:val="single" w:sz="4" w:space="0" w:color="auto"/>
              <w:right w:val="single" w:sz="4" w:space="0" w:color="auto"/>
            </w:tcBorders>
            <w:shd w:val="clear" w:color="000000" w:fill="44A89A"/>
            <w:noWrap/>
            <w:vAlign w:val="center"/>
          </w:tcPr>
          <w:p w14:paraId="01C041FD"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160-180</w:t>
            </w:r>
          </w:p>
        </w:tc>
        <w:tc>
          <w:tcPr>
            <w:tcW w:w="1088" w:type="dxa"/>
            <w:tcBorders>
              <w:top w:val="single" w:sz="4" w:space="0" w:color="auto"/>
              <w:left w:val="nil"/>
              <w:bottom w:val="single" w:sz="4" w:space="0" w:color="auto"/>
              <w:right w:val="nil"/>
            </w:tcBorders>
            <w:shd w:val="clear" w:color="000000" w:fill="44A89A"/>
            <w:noWrap/>
            <w:vAlign w:val="center"/>
          </w:tcPr>
          <w:p w14:paraId="47B02E06" w14:textId="77777777" w:rsidR="005562B3" w:rsidRDefault="005562B3" w:rsidP="00B44D37">
            <w:pPr>
              <w:widowControl/>
              <w:jc w:val="center"/>
              <w:rPr>
                <w:rFonts w:ascii="微软雅黑" w:eastAsia="微软雅黑" w:hAnsi="微软雅黑" w:cs="宋体"/>
                <w:b/>
                <w:bCs/>
                <w:color w:val="FFFFFF"/>
                <w:kern w:val="0"/>
                <w:sz w:val="20"/>
                <w:szCs w:val="20"/>
              </w:rPr>
            </w:pPr>
            <w:r>
              <w:rPr>
                <w:rFonts w:ascii="宋体" w:eastAsia="宋体" w:hAnsi="宋体" w:cs="宋体" w:hint="eastAsia"/>
                <w:b/>
                <w:bCs/>
                <w:color w:val="FFFFFF"/>
                <w:kern w:val="0"/>
                <w:sz w:val="20"/>
                <w:szCs w:val="20"/>
              </w:rPr>
              <w:t>180以上</w:t>
            </w:r>
          </w:p>
        </w:tc>
      </w:tr>
      <w:tr w:rsidR="005562B3" w14:paraId="37972712" w14:textId="77777777" w:rsidTr="00B44D37">
        <w:trPr>
          <w:trHeight w:val="270"/>
          <w:jc w:val="center"/>
        </w:trPr>
        <w:tc>
          <w:tcPr>
            <w:tcW w:w="1088" w:type="dxa"/>
            <w:tcBorders>
              <w:top w:val="nil"/>
              <w:left w:val="nil"/>
              <w:bottom w:val="single" w:sz="4" w:space="0" w:color="auto"/>
              <w:right w:val="single" w:sz="4" w:space="0" w:color="auto"/>
            </w:tcBorders>
            <w:shd w:val="clear" w:color="auto" w:fill="auto"/>
            <w:noWrap/>
            <w:vAlign w:val="center"/>
          </w:tcPr>
          <w:p w14:paraId="278160D4"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一线</w:t>
            </w:r>
          </w:p>
        </w:tc>
        <w:tc>
          <w:tcPr>
            <w:tcW w:w="1088"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296C7BEF" w14:textId="77777777" w:rsidR="005562B3" w:rsidRDefault="005562B3" w:rsidP="00B44D37">
            <w:pPr>
              <w:widowControl/>
              <w:jc w:val="center"/>
              <w:rPr>
                <w:rFonts w:ascii="宋体" w:eastAsia="宋体" w:hAnsi="宋体" w:cs="宋体"/>
                <w:color w:val="006100"/>
                <w:kern w:val="0"/>
                <w:sz w:val="20"/>
                <w:szCs w:val="20"/>
              </w:rPr>
            </w:pPr>
            <w:r>
              <w:rPr>
                <w:rFonts w:ascii="宋体" w:eastAsia="宋体" w:hAnsi="宋体" w:cs="宋体" w:hint="eastAsia"/>
                <w:color w:val="006100"/>
                <w:kern w:val="0"/>
                <w:sz w:val="20"/>
                <w:szCs w:val="20"/>
              </w:rPr>
              <w:t xml:space="preserve">-1.3 </w:t>
            </w:r>
          </w:p>
        </w:tc>
        <w:tc>
          <w:tcPr>
            <w:tcW w:w="1088" w:type="dxa"/>
            <w:tcBorders>
              <w:top w:val="nil"/>
              <w:left w:val="nil"/>
              <w:bottom w:val="single" w:sz="4" w:space="0" w:color="auto"/>
              <w:right w:val="single" w:sz="4" w:space="0" w:color="auto"/>
            </w:tcBorders>
            <w:shd w:val="clear" w:color="auto" w:fill="auto"/>
            <w:noWrap/>
            <w:vAlign w:val="center"/>
          </w:tcPr>
          <w:p w14:paraId="41DB4E46"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0.4 </w:t>
            </w:r>
          </w:p>
        </w:tc>
        <w:tc>
          <w:tcPr>
            <w:tcW w:w="1088" w:type="dxa"/>
            <w:tcBorders>
              <w:top w:val="nil"/>
              <w:left w:val="nil"/>
              <w:bottom w:val="single" w:sz="4" w:space="0" w:color="auto"/>
              <w:right w:val="single" w:sz="4" w:space="0" w:color="auto"/>
            </w:tcBorders>
            <w:shd w:val="clear" w:color="auto" w:fill="auto"/>
            <w:noWrap/>
            <w:vAlign w:val="center"/>
          </w:tcPr>
          <w:p w14:paraId="1556B417"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0.0 </w:t>
            </w:r>
          </w:p>
        </w:tc>
        <w:tc>
          <w:tcPr>
            <w:tcW w:w="1088"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A4795F8"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0.8 </w:t>
            </w:r>
          </w:p>
        </w:tc>
        <w:tc>
          <w:tcPr>
            <w:tcW w:w="1109"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67512D19" w14:textId="77777777" w:rsidR="005562B3" w:rsidRDefault="005562B3" w:rsidP="00B44D37">
            <w:pPr>
              <w:widowControl/>
              <w:jc w:val="center"/>
              <w:rPr>
                <w:rFonts w:ascii="宋体" w:eastAsia="宋体" w:hAnsi="宋体" w:cs="宋体"/>
                <w:color w:val="006100"/>
                <w:kern w:val="0"/>
                <w:sz w:val="20"/>
                <w:szCs w:val="20"/>
              </w:rPr>
            </w:pPr>
            <w:r>
              <w:rPr>
                <w:rFonts w:ascii="宋体" w:eastAsia="宋体" w:hAnsi="宋体" w:cs="宋体" w:hint="eastAsia"/>
                <w:color w:val="006100"/>
                <w:kern w:val="0"/>
                <w:sz w:val="20"/>
                <w:szCs w:val="20"/>
              </w:rPr>
              <w:t xml:space="preserve">-1.6 </w:t>
            </w:r>
          </w:p>
        </w:tc>
        <w:tc>
          <w:tcPr>
            <w:tcW w:w="1109"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03C086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0.8 </w:t>
            </w:r>
          </w:p>
        </w:tc>
        <w:tc>
          <w:tcPr>
            <w:tcW w:w="1109"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A1B159D"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0.7 </w:t>
            </w:r>
          </w:p>
        </w:tc>
        <w:tc>
          <w:tcPr>
            <w:tcW w:w="1109" w:type="dxa"/>
            <w:tcBorders>
              <w:top w:val="nil"/>
              <w:left w:val="nil"/>
              <w:bottom w:val="single" w:sz="4" w:space="0" w:color="auto"/>
              <w:right w:val="single" w:sz="4" w:space="0" w:color="auto"/>
            </w:tcBorders>
            <w:shd w:val="clear" w:color="auto" w:fill="auto"/>
            <w:noWrap/>
            <w:vAlign w:val="center"/>
          </w:tcPr>
          <w:p w14:paraId="4C18D25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0.2 </w:t>
            </w:r>
          </w:p>
        </w:tc>
        <w:tc>
          <w:tcPr>
            <w:tcW w:w="1088" w:type="dxa"/>
            <w:tcBorders>
              <w:top w:val="nil"/>
              <w:left w:val="nil"/>
              <w:bottom w:val="single" w:sz="4" w:space="0" w:color="auto"/>
              <w:right w:val="nil"/>
            </w:tcBorders>
            <w:shd w:val="clear" w:color="auto" w:fill="auto"/>
            <w:noWrap/>
            <w:vAlign w:val="center"/>
          </w:tcPr>
          <w:p w14:paraId="6F4B520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0.1 </w:t>
            </w:r>
          </w:p>
        </w:tc>
      </w:tr>
      <w:tr w:rsidR="005562B3" w14:paraId="3E9DF713" w14:textId="77777777" w:rsidTr="00B44D37">
        <w:trPr>
          <w:trHeight w:val="270"/>
          <w:jc w:val="center"/>
        </w:trPr>
        <w:tc>
          <w:tcPr>
            <w:tcW w:w="1088" w:type="dxa"/>
            <w:tcBorders>
              <w:top w:val="nil"/>
              <w:left w:val="nil"/>
              <w:bottom w:val="single" w:sz="4" w:space="0" w:color="auto"/>
              <w:right w:val="single" w:sz="4" w:space="0" w:color="auto"/>
            </w:tcBorders>
            <w:shd w:val="clear" w:color="auto" w:fill="auto"/>
            <w:noWrap/>
            <w:vAlign w:val="center"/>
          </w:tcPr>
          <w:p w14:paraId="3CC2A47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二线</w:t>
            </w:r>
          </w:p>
        </w:tc>
        <w:tc>
          <w:tcPr>
            <w:tcW w:w="1088"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22D7681" w14:textId="77777777" w:rsidR="005562B3" w:rsidRDefault="005562B3" w:rsidP="00B44D37">
            <w:pPr>
              <w:widowControl/>
              <w:jc w:val="center"/>
              <w:rPr>
                <w:rFonts w:ascii="宋体" w:eastAsia="宋体" w:hAnsi="宋体" w:cs="宋体"/>
                <w:color w:val="006100"/>
                <w:kern w:val="0"/>
                <w:sz w:val="20"/>
                <w:szCs w:val="20"/>
              </w:rPr>
            </w:pPr>
            <w:r>
              <w:rPr>
                <w:rFonts w:ascii="宋体" w:eastAsia="宋体" w:hAnsi="宋体" w:cs="宋体" w:hint="eastAsia"/>
                <w:color w:val="006100"/>
                <w:kern w:val="0"/>
                <w:sz w:val="20"/>
                <w:szCs w:val="20"/>
              </w:rPr>
              <w:t xml:space="preserve">-1.2 </w:t>
            </w:r>
          </w:p>
        </w:tc>
        <w:tc>
          <w:tcPr>
            <w:tcW w:w="1088" w:type="dxa"/>
            <w:tcBorders>
              <w:top w:val="nil"/>
              <w:left w:val="nil"/>
              <w:bottom w:val="single" w:sz="4" w:space="0" w:color="auto"/>
              <w:right w:val="single" w:sz="4" w:space="0" w:color="auto"/>
            </w:tcBorders>
            <w:shd w:val="clear" w:color="auto" w:fill="auto"/>
            <w:noWrap/>
            <w:vAlign w:val="center"/>
          </w:tcPr>
          <w:p w14:paraId="7527E895"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0.0 </w:t>
            </w:r>
          </w:p>
        </w:tc>
        <w:tc>
          <w:tcPr>
            <w:tcW w:w="1088"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712A566" w14:textId="77777777" w:rsidR="005562B3" w:rsidRDefault="005562B3" w:rsidP="00B44D37">
            <w:pPr>
              <w:widowControl/>
              <w:jc w:val="center"/>
              <w:rPr>
                <w:rFonts w:ascii="宋体" w:eastAsia="宋体" w:hAnsi="宋体" w:cs="宋体"/>
                <w:color w:val="006100"/>
                <w:kern w:val="0"/>
                <w:sz w:val="20"/>
                <w:szCs w:val="20"/>
              </w:rPr>
            </w:pPr>
            <w:r>
              <w:rPr>
                <w:rFonts w:ascii="宋体" w:eastAsia="宋体" w:hAnsi="宋体" w:cs="宋体" w:hint="eastAsia"/>
                <w:color w:val="006100"/>
                <w:kern w:val="0"/>
                <w:sz w:val="20"/>
                <w:szCs w:val="20"/>
              </w:rPr>
              <w:t xml:space="preserve">-0.4 </w:t>
            </w:r>
          </w:p>
        </w:tc>
        <w:tc>
          <w:tcPr>
            <w:tcW w:w="1088" w:type="dxa"/>
            <w:tcBorders>
              <w:top w:val="nil"/>
              <w:left w:val="nil"/>
              <w:bottom w:val="single" w:sz="4" w:space="0" w:color="auto"/>
              <w:right w:val="single" w:sz="4" w:space="0" w:color="auto"/>
            </w:tcBorders>
            <w:shd w:val="clear" w:color="auto" w:fill="auto"/>
            <w:noWrap/>
            <w:vAlign w:val="center"/>
          </w:tcPr>
          <w:p w14:paraId="41600AE7"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-0.2 </w:t>
            </w:r>
          </w:p>
        </w:tc>
        <w:tc>
          <w:tcPr>
            <w:tcW w:w="1109" w:type="dxa"/>
            <w:tcBorders>
              <w:top w:val="nil"/>
              <w:left w:val="nil"/>
              <w:bottom w:val="single" w:sz="4" w:space="0" w:color="auto"/>
              <w:right w:val="single" w:sz="4" w:space="0" w:color="auto"/>
            </w:tcBorders>
            <w:shd w:val="clear" w:color="auto" w:fill="auto"/>
            <w:noWrap/>
            <w:vAlign w:val="center"/>
          </w:tcPr>
          <w:p w14:paraId="1C8F196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0.4 </w:t>
            </w:r>
          </w:p>
        </w:tc>
        <w:tc>
          <w:tcPr>
            <w:tcW w:w="1109"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8CD99CC"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1.2 </w:t>
            </w:r>
          </w:p>
        </w:tc>
        <w:tc>
          <w:tcPr>
            <w:tcW w:w="1109" w:type="dxa"/>
            <w:tcBorders>
              <w:top w:val="nil"/>
              <w:left w:val="nil"/>
              <w:bottom w:val="single" w:sz="4" w:space="0" w:color="auto"/>
              <w:right w:val="single" w:sz="4" w:space="0" w:color="auto"/>
            </w:tcBorders>
            <w:shd w:val="clear" w:color="auto" w:fill="auto"/>
            <w:noWrap/>
            <w:vAlign w:val="center"/>
          </w:tcPr>
          <w:p w14:paraId="4291EEB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0.3 </w:t>
            </w:r>
          </w:p>
        </w:tc>
        <w:tc>
          <w:tcPr>
            <w:tcW w:w="1109" w:type="dxa"/>
            <w:tcBorders>
              <w:top w:val="nil"/>
              <w:left w:val="nil"/>
              <w:bottom w:val="single" w:sz="4" w:space="0" w:color="auto"/>
              <w:right w:val="single" w:sz="4" w:space="0" w:color="auto"/>
            </w:tcBorders>
            <w:shd w:val="clear" w:color="auto" w:fill="auto"/>
            <w:noWrap/>
            <w:vAlign w:val="center"/>
          </w:tcPr>
          <w:p w14:paraId="7380BB5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-0.1 </w:t>
            </w:r>
          </w:p>
        </w:tc>
        <w:tc>
          <w:tcPr>
            <w:tcW w:w="1088" w:type="dxa"/>
            <w:tcBorders>
              <w:top w:val="nil"/>
              <w:left w:val="nil"/>
              <w:bottom w:val="single" w:sz="4" w:space="0" w:color="auto"/>
              <w:right w:val="nil"/>
            </w:tcBorders>
            <w:shd w:val="clear" w:color="auto" w:fill="auto"/>
            <w:noWrap/>
            <w:vAlign w:val="center"/>
          </w:tcPr>
          <w:p w14:paraId="2CA12F3D"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0.0 </w:t>
            </w:r>
          </w:p>
        </w:tc>
      </w:tr>
      <w:tr w:rsidR="005562B3" w14:paraId="27F226DC" w14:textId="77777777" w:rsidTr="00B44D37">
        <w:trPr>
          <w:trHeight w:val="270"/>
          <w:jc w:val="center"/>
        </w:trPr>
        <w:tc>
          <w:tcPr>
            <w:tcW w:w="1088" w:type="dxa"/>
            <w:tcBorders>
              <w:top w:val="nil"/>
              <w:left w:val="nil"/>
              <w:bottom w:val="single" w:sz="4" w:space="0" w:color="auto"/>
              <w:right w:val="single" w:sz="4" w:space="0" w:color="auto"/>
            </w:tcBorders>
            <w:shd w:val="clear" w:color="auto" w:fill="auto"/>
            <w:noWrap/>
            <w:vAlign w:val="center"/>
          </w:tcPr>
          <w:p w14:paraId="4D1C6B6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三四线</w:t>
            </w:r>
          </w:p>
        </w:tc>
        <w:tc>
          <w:tcPr>
            <w:tcW w:w="1088" w:type="dxa"/>
            <w:tcBorders>
              <w:top w:val="nil"/>
              <w:left w:val="nil"/>
              <w:bottom w:val="single" w:sz="4" w:space="0" w:color="auto"/>
              <w:right w:val="single" w:sz="4" w:space="0" w:color="auto"/>
            </w:tcBorders>
            <w:shd w:val="clear" w:color="auto" w:fill="auto"/>
            <w:noWrap/>
            <w:vAlign w:val="center"/>
          </w:tcPr>
          <w:p w14:paraId="5651C7B4"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0.0 </w:t>
            </w:r>
          </w:p>
        </w:tc>
        <w:tc>
          <w:tcPr>
            <w:tcW w:w="1088" w:type="dxa"/>
            <w:tcBorders>
              <w:top w:val="nil"/>
              <w:left w:val="nil"/>
              <w:bottom w:val="single" w:sz="4" w:space="0" w:color="auto"/>
              <w:right w:val="single" w:sz="4" w:space="0" w:color="auto"/>
            </w:tcBorders>
            <w:shd w:val="clear" w:color="auto" w:fill="auto"/>
            <w:noWrap/>
            <w:vAlign w:val="center"/>
          </w:tcPr>
          <w:p w14:paraId="1A672A7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0.0 </w:t>
            </w:r>
          </w:p>
        </w:tc>
        <w:tc>
          <w:tcPr>
            <w:tcW w:w="1088" w:type="dxa"/>
            <w:tcBorders>
              <w:top w:val="nil"/>
              <w:left w:val="nil"/>
              <w:bottom w:val="single" w:sz="4" w:space="0" w:color="auto"/>
              <w:right w:val="single" w:sz="4" w:space="0" w:color="auto"/>
            </w:tcBorders>
            <w:shd w:val="clear" w:color="auto" w:fill="auto"/>
            <w:noWrap/>
            <w:vAlign w:val="center"/>
          </w:tcPr>
          <w:p w14:paraId="02D41A08"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0.2 </w:t>
            </w:r>
          </w:p>
        </w:tc>
        <w:tc>
          <w:tcPr>
            <w:tcW w:w="1088"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DF74461" w14:textId="77777777" w:rsidR="005562B3" w:rsidRDefault="005562B3" w:rsidP="00B44D37">
            <w:pPr>
              <w:widowControl/>
              <w:jc w:val="center"/>
              <w:rPr>
                <w:rFonts w:ascii="宋体" w:eastAsia="宋体" w:hAnsi="宋体" w:cs="宋体"/>
                <w:color w:val="006100"/>
                <w:kern w:val="0"/>
                <w:sz w:val="20"/>
                <w:szCs w:val="20"/>
              </w:rPr>
            </w:pPr>
            <w:r>
              <w:rPr>
                <w:rFonts w:ascii="宋体" w:eastAsia="宋体" w:hAnsi="宋体" w:cs="宋体" w:hint="eastAsia"/>
                <w:color w:val="006100"/>
                <w:kern w:val="0"/>
                <w:sz w:val="20"/>
                <w:szCs w:val="20"/>
              </w:rPr>
              <w:t xml:space="preserve">-0.2 </w:t>
            </w:r>
          </w:p>
        </w:tc>
        <w:tc>
          <w:tcPr>
            <w:tcW w:w="1109" w:type="dxa"/>
            <w:tcBorders>
              <w:top w:val="nil"/>
              <w:left w:val="nil"/>
              <w:bottom w:val="single" w:sz="4" w:space="0" w:color="auto"/>
              <w:right w:val="single" w:sz="4" w:space="0" w:color="auto"/>
            </w:tcBorders>
            <w:shd w:val="clear" w:color="auto" w:fill="auto"/>
            <w:noWrap/>
            <w:vAlign w:val="center"/>
          </w:tcPr>
          <w:p w14:paraId="3206FBC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-0.1 </w:t>
            </w:r>
          </w:p>
        </w:tc>
        <w:tc>
          <w:tcPr>
            <w:tcW w:w="1109"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50F6F204" w14:textId="77777777" w:rsidR="005562B3" w:rsidRDefault="005562B3" w:rsidP="00B44D37">
            <w:pPr>
              <w:widowControl/>
              <w:jc w:val="center"/>
              <w:rPr>
                <w:rFonts w:ascii="宋体" w:eastAsia="宋体" w:hAnsi="宋体" w:cs="宋体"/>
                <w:color w:val="006100"/>
                <w:kern w:val="0"/>
                <w:sz w:val="20"/>
                <w:szCs w:val="20"/>
              </w:rPr>
            </w:pPr>
            <w:r>
              <w:rPr>
                <w:rFonts w:ascii="宋体" w:eastAsia="宋体" w:hAnsi="宋体" w:cs="宋体" w:hint="eastAsia"/>
                <w:color w:val="006100"/>
                <w:kern w:val="0"/>
                <w:sz w:val="20"/>
                <w:szCs w:val="20"/>
              </w:rPr>
              <w:t xml:space="preserve">-0.2 </w:t>
            </w:r>
          </w:p>
        </w:tc>
        <w:tc>
          <w:tcPr>
            <w:tcW w:w="1109" w:type="dxa"/>
            <w:tcBorders>
              <w:top w:val="nil"/>
              <w:left w:val="nil"/>
              <w:bottom w:val="single" w:sz="4" w:space="0" w:color="auto"/>
              <w:right w:val="single" w:sz="4" w:space="0" w:color="auto"/>
            </w:tcBorders>
            <w:shd w:val="clear" w:color="auto" w:fill="auto"/>
            <w:noWrap/>
            <w:vAlign w:val="center"/>
          </w:tcPr>
          <w:p w14:paraId="2CAF57AD"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-0.1 </w:t>
            </w:r>
          </w:p>
        </w:tc>
        <w:tc>
          <w:tcPr>
            <w:tcW w:w="1109" w:type="dxa"/>
            <w:tcBorders>
              <w:top w:val="nil"/>
              <w:left w:val="nil"/>
              <w:bottom w:val="single" w:sz="4" w:space="0" w:color="auto"/>
              <w:right w:val="single" w:sz="4" w:space="0" w:color="auto"/>
            </w:tcBorders>
            <w:shd w:val="clear" w:color="auto" w:fill="auto"/>
            <w:noWrap/>
            <w:vAlign w:val="center"/>
          </w:tcPr>
          <w:p w14:paraId="5DC3419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0.2 </w:t>
            </w:r>
          </w:p>
        </w:tc>
        <w:tc>
          <w:tcPr>
            <w:tcW w:w="1088" w:type="dxa"/>
            <w:tcBorders>
              <w:top w:val="nil"/>
              <w:left w:val="nil"/>
              <w:bottom w:val="single" w:sz="4" w:space="0" w:color="auto"/>
              <w:right w:val="nil"/>
            </w:tcBorders>
            <w:shd w:val="clear" w:color="auto" w:fill="auto"/>
            <w:noWrap/>
            <w:vAlign w:val="center"/>
          </w:tcPr>
          <w:p w14:paraId="26B925F6"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0.2 </w:t>
            </w:r>
          </w:p>
        </w:tc>
      </w:tr>
    </w:tbl>
    <w:p w14:paraId="0FC98D42" w14:textId="77777777" w:rsidR="005562B3" w:rsidRDefault="005562B3" w:rsidP="005562B3">
      <w:pPr>
        <w:adjustRightInd w:val="0"/>
        <w:snapToGrid w:val="0"/>
        <w:spacing w:beforeLines="50" w:before="156"/>
        <w:ind w:right="132"/>
        <w:jc w:val="right"/>
        <w:rPr>
          <w:rFonts w:ascii="宋体" w:eastAsia="宋体" w:hAnsi="宋体" w:cs="Arial"/>
          <w:szCs w:val="21"/>
        </w:rPr>
      </w:pPr>
      <w:r>
        <w:rPr>
          <w:rFonts w:ascii="宋体" w:eastAsia="宋体" w:hAnsi="宋体" w:cs="Arial" w:hint="eastAsia"/>
          <w:szCs w:val="21"/>
        </w:rPr>
        <w:t>数据来源：CRIC中国房地产决策咨询系统</w:t>
      </w:r>
    </w:p>
    <w:p w14:paraId="423CCD75" w14:textId="7CFCC571" w:rsidR="005562B3" w:rsidRDefault="005562B3" w:rsidP="005562B3">
      <w:pPr>
        <w:spacing w:line="440" w:lineRule="exact"/>
        <w:jc w:val="left"/>
        <w:outlineLvl w:val="3"/>
        <w:rPr>
          <w:rFonts w:ascii="宋体" w:eastAsia="宋体" w:hAnsi="宋体" w:cs="方正兰亭中黑简体"/>
          <w:b/>
          <w:bCs/>
          <w:szCs w:val="21"/>
        </w:rPr>
      </w:pPr>
      <w:r>
        <w:rPr>
          <w:rFonts w:ascii="宋体" w:eastAsia="宋体" w:hAnsi="宋体" w:cs="方正兰亭中黑简体" w:hint="eastAsia"/>
          <w:b/>
          <w:bCs/>
          <w:szCs w:val="21"/>
        </w:rPr>
        <w:t>（2）小户型去化压力更大，一线</w:t>
      </w:r>
      <w:r w:rsidR="001C4E18">
        <w:rPr>
          <w:rFonts w:ascii="宋体" w:eastAsia="宋体" w:hAnsi="宋体" w:cs="方正兰亭中黑简体" w:hint="eastAsia"/>
          <w:b/>
          <w:bCs/>
          <w:szCs w:val="21"/>
        </w:rPr>
        <w:t>7</w:t>
      </w:r>
      <w:r>
        <w:rPr>
          <w:rFonts w:ascii="宋体" w:eastAsia="宋体" w:hAnsi="宋体" w:cs="方正兰亭中黑简体" w:hint="eastAsia"/>
          <w:b/>
          <w:bCs/>
          <w:szCs w:val="21"/>
        </w:rPr>
        <w:t>0</w:t>
      </w:r>
      <w:r w:rsidR="00F13738">
        <w:rPr>
          <w:rFonts w:ascii="宋体" w:eastAsia="宋体" w:hAnsi="宋体" w:cs="方正兰亭中黑简体" w:hint="eastAsia"/>
          <w:b/>
          <w:bCs/>
          <w:szCs w:val="21"/>
        </w:rPr>
        <w:t>㎡以上</w:t>
      </w:r>
      <w:r>
        <w:rPr>
          <w:rFonts w:ascii="宋体" w:eastAsia="宋体" w:hAnsi="宋体" w:cs="方正兰亭中黑简体"/>
          <w:b/>
          <w:bCs/>
          <w:szCs w:val="21"/>
        </w:rPr>
        <w:t>、二线</w:t>
      </w:r>
      <w:r>
        <w:rPr>
          <w:rFonts w:ascii="宋体" w:eastAsia="宋体" w:hAnsi="宋体" w:cs="方正兰亭中黑简体" w:hint="eastAsia"/>
          <w:b/>
          <w:bCs/>
          <w:szCs w:val="21"/>
        </w:rPr>
        <w:t>三四线100</w:t>
      </w:r>
      <w:r w:rsidR="00F13738">
        <w:rPr>
          <w:rFonts w:ascii="宋体" w:eastAsia="宋体" w:hAnsi="宋体" w:cs="方正兰亭中黑简体" w:hint="eastAsia"/>
          <w:b/>
          <w:bCs/>
          <w:szCs w:val="21"/>
        </w:rPr>
        <w:t>㎡以上</w:t>
      </w:r>
      <w:r>
        <w:rPr>
          <w:rFonts w:ascii="宋体" w:eastAsia="宋体" w:hAnsi="宋体" w:cs="方正兰亭中黑简体" w:hint="eastAsia"/>
          <w:b/>
          <w:bCs/>
          <w:szCs w:val="21"/>
        </w:rPr>
        <w:t>库存</w:t>
      </w:r>
      <w:r>
        <w:rPr>
          <w:rFonts w:ascii="宋体" w:eastAsia="宋体" w:hAnsi="宋体" w:cs="方正兰亭中黑简体"/>
          <w:b/>
          <w:bCs/>
          <w:szCs w:val="21"/>
        </w:rPr>
        <w:t>积压</w:t>
      </w:r>
      <w:r w:rsidR="005D371E">
        <w:rPr>
          <w:rFonts w:ascii="宋体" w:eastAsia="宋体" w:hAnsi="宋体" w:cs="方正兰亭中黑简体" w:hint="eastAsia"/>
          <w:b/>
          <w:bCs/>
          <w:szCs w:val="21"/>
        </w:rPr>
        <w:t>（略）</w:t>
      </w:r>
    </w:p>
    <w:p w14:paraId="20CE0E00" w14:textId="572BB0E8" w:rsidR="005562B3" w:rsidRDefault="005562B3" w:rsidP="005562B3">
      <w:pPr>
        <w:spacing w:line="440" w:lineRule="exact"/>
        <w:jc w:val="left"/>
        <w:outlineLvl w:val="2"/>
        <w:rPr>
          <w:rFonts w:ascii="宋体" w:eastAsia="宋体" w:hAnsi="宋体" w:cs="方正兰亭中黑简体"/>
          <w:b/>
          <w:bCs/>
          <w:szCs w:val="21"/>
        </w:rPr>
      </w:pPr>
      <w:bookmarkStart w:id="39" w:name="_Toc128583535"/>
      <w:r w:rsidRPr="00E83C5C">
        <w:rPr>
          <w:rFonts w:ascii="宋体" w:eastAsia="宋体" w:hAnsi="宋体" w:cs="方正兰亭中黑简体" w:hint="eastAsia"/>
          <w:b/>
          <w:bCs/>
          <w:szCs w:val="21"/>
        </w:rPr>
        <w:t>2</w:t>
      </w:r>
      <w:r w:rsidR="00F13738">
        <w:rPr>
          <w:rFonts w:ascii="宋体" w:eastAsia="宋体" w:hAnsi="宋体" w:cs="方正兰亭中黑简体" w:hint="eastAsia"/>
          <w:b/>
          <w:bCs/>
          <w:szCs w:val="21"/>
        </w:rPr>
        <w:t>）</w:t>
      </w:r>
      <w:r w:rsidRPr="00E83C5C">
        <w:rPr>
          <w:rFonts w:ascii="宋体" w:eastAsia="宋体" w:hAnsi="宋体" w:cs="方正兰亭中黑简体" w:hint="eastAsia"/>
          <w:b/>
          <w:bCs/>
          <w:szCs w:val="21"/>
        </w:rPr>
        <w:t>、城市：</w:t>
      </w:r>
      <w:r>
        <w:rPr>
          <w:rFonts w:ascii="宋体" w:eastAsia="宋体" w:hAnsi="宋体" w:cs="方正兰亭中黑简体" w:hint="eastAsia"/>
          <w:b/>
          <w:bCs/>
          <w:szCs w:val="21"/>
        </w:rPr>
        <w:t>100-120</w:t>
      </w:r>
      <w:r w:rsidR="00B24094">
        <w:rPr>
          <w:rFonts w:ascii="宋体" w:eastAsia="宋体" w:hAnsi="宋体" w:cs="方正兰亭中黑简体" w:hint="eastAsia"/>
          <w:b/>
          <w:bCs/>
          <w:szCs w:val="21"/>
        </w:rPr>
        <w:t>㎡安全系数最高、亦是</w:t>
      </w:r>
      <w:r>
        <w:rPr>
          <w:rFonts w:ascii="宋体" w:eastAsia="宋体" w:hAnsi="宋体" w:cs="方正兰亭中黑简体"/>
          <w:b/>
          <w:bCs/>
          <w:szCs w:val="21"/>
        </w:rPr>
        <w:t>库存</w:t>
      </w:r>
      <w:r>
        <w:rPr>
          <w:rFonts w:ascii="宋体" w:eastAsia="宋体" w:hAnsi="宋体" w:cs="方正兰亭中黑简体" w:hint="eastAsia"/>
          <w:b/>
          <w:bCs/>
          <w:szCs w:val="21"/>
        </w:rPr>
        <w:t>主力</w:t>
      </w:r>
      <w:r>
        <w:rPr>
          <w:rFonts w:ascii="宋体" w:eastAsia="宋体" w:hAnsi="宋体" w:cs="方正兰亭中黑简体"/>
          <w:b/>
          <w:bCs/>
          <w:szCs w:val="21"/>
        </w:rPr>
        <w:t>，</w:t>
      </w:r>
      <w:r>
        <w:rPr>
          <w:rFonts w:ascii="宋体" w:eastAsia="宋体" w:hAnsi="宋体" w:cs="方正兰亭中黑简体" w:hint="eastAsia"/>
          <w:b/>
          <w:bCs/>
          <w:szCs w:val="21"/>
        </w:rPr>
        <w:t>嘉兴</w:t>
      </w:r>
      <w:r>
        <w:rPr>
          <w:rFonts w:ascii="宋体" w:eastAsia="宋体" w:hAnsi="宋体" w:cs="方正兰亭中黑简体"/>
          <w:b/>
          <w:bCs/>
          <w:szCs w:val="21"/>
        </w:rPr>
        <w:t>、莆田等</w:t>
      </w:r>
      <w:r>
        <w:rPr>
          <w:rFonts w:ascii="宋体" w:eastAsia="宋体" w:hAnsi="宋体" w:cs="方正兰亭中黑简体" w:hint="eastAsia"/>
          <w:b/>
          <w:bCs/>
          <w:szCs w:val="21"/>
        </w:rPr>
        <w:t>整体无虞</w:t>
      </w:r>
      <w:r>
        <w:rPr>
          <w:rFonts w:ascii="宋体" w:eastAsia="宋体" w:hAnsi="宋体" w:cs="方正兰亭中黑简体"/>
          <w:b/>
          <w:bCs/>
          <w:szCs w:val="21"/>
        </w:rPr>
        <w:t>但结构性承压</w:t>
      </w:r>
      <w:bookmarkEnd w:id="39"/>
    </w:p>
    <w:p w14:paraId="1BFBD577" w14:textId="3A834B94" w:rsidR="005562B3" w:rsidRDefault="005562B3" w:rsidP="005562B3">
      <w:pPr>
        <w:spacing w:line="440" w:lineRule="exact"/>
        <w:ind w:firstLineChars="200" w:firstLine="420"/>
        <w:rPr>
          <w:rFonts w:ascii="宋体" w:eastAsia="宋体" w:hAnsi="宋体" w:cs="Times New Roman"/>
        </w:rPr>
      </w:pPr>
      <w:r>
        <w:rPr>
          <w:rFonts w:ascii="宋体" w:eastAsia="宋体" w:hAnsi="宋体" w:cs="Times New Roman"/>
        </w:rPr>
        <w:t>多数城市库存占比最大的产品</w:t>
      </w:r>
      <w:r>
        <w:rPr>
          <w:rFonts w:ascii="宋体" w:eastAsia="宋体" w:hAnsi="宋体" w:cs="Times New Roman" w:hint="eastAsia"/>
        </w:rPr>
        <w:t>是100-120</w:t>
      </w:r>
      <w:r w:rsidR="00F13738">
        <w:rPr>
          <w:rFonts w:ascii="宋体" w:eastAsia="宋体" w:hAnsi="宋体" w:cs="Times New Roman" w:hint="eastAsia"/>
        </w:rPr>
        <w:t>㎡</w:t>
      </w:r>
      <w:r>
        <w:rPr>
          <w:rFonts w:ascii="宋体" w:eastAsia="宋体" w:hAnsi="宋体" w:cs="Times New Roman"/>
        </w:rPr>
        <w:t>，</w:t>
      </w:r>
      <w:r w:rsidRPr="002E3C16">
        <w:rPr>
          <w:rFonts w:ascii="宋体" w:eastAsia="宋体" w:hAnsi="宋体" w:cs="Times New Roman"/>
        </w:rPr>
        <w:t>7成以上城市100-120</w:t>
      </w:r>
      <w:r w:rsidR="00F13738">
        <w:rPr>
          <w:rFonts w:ascii="宋体" w:eastAsia="宋体" w:hAnsi="宋体" w:cs="Times New Roman"/>
        </w:rPr>
        <w:t>㎡产品</w:t>
      </w:r>
      <w:r w:rsidRPr="002E3C16">
        <w:rPr>
          <w:rFonts w:ascii="宋体" w:eastAsia="宋体" w:hAnsi="宋体" w:cs="Times New Roman"/>
        </w:rPr>
        <w:t>占比在20%以上</w:t>
      </w:r>
      <w:r>
        <w:rPr>
          <w:rFonts w:ascii="宋体" w:eastAsia="宋体" w:hAnsi="宋体" w:cs="Times New Roman" w:hint="eastAsia"/>
        </w:rPr>
        <w:t>，</w:t>
      </w:r>
      <w:r>
        <w:rPr>
          <w:rFonts w:ascii="宋体" w:eastAsia="宋体" w:hAnsi="宋体" w:cs="Times New Roman"/>
        </w:rPr>
        <w:t>反映</w:t>
      </w:r>
      <w:r>
        <w:rPr>
          <w:rFonts w:ascii="宋体" w:eastAsia="宋体" w:hAnsi="宋体" w:cs="Times New Roman" w:hint="eastAsia"/>
        </w:rPr>
        <w:t>市场</w:t>
      </w:r>
      <w:r>
        <w:rPr>
          <w:rFonts w:ascii="宋体" w:eastAsia="宋体" w:hAnsi="宋体" w:cs="Times New Roman"/>
        </w:rPr>
        <w:t>的一致性认可和房企推货信心</w:t>
      </w:r>
      <w:r>
        <w:rPr>
          <w:rFonts w:ascii="宋体" w:eastAsia="宋体" w:hAnsi="宋体" w:cs="Times New Roman" w:hint="eastAsia"/>
        </w:rPr>
        <w:t>。具体</w:t>
      </w:r>
      <w:r>
        <w:rPr>
          <w:rFonts w:ascii="宋体" w:eastAsia="宋体" w:hAnsi="宋体" w:cs="Times New Roman"/>
        </w:rPr>
        <w:t>到城市，</w:t>
      </w:r>
      <w:r w:rsidRPr="002E3C16">
        <w:rPr>
          <w:rFonts w:ascii="宋体" w:eastAsia="宋体" w:hAnsi="宋体" w:cs="Times New Roman" w:hint="eastAsia"/>
        </w:rPr>
        <w:t>哈尔滨、北海等</w:t>
      </w:r>
      <w:r>
        <w:rPr>
          <w:rFonts w:ascii="宋体" w:eastAsia="宋体" w:hAnsi="宋体" w:cs="Times New Roman" w:hint="eastAsia"/>
        </w:rPr>
        <w:t>新房</w:t>
      </w:r>
      <w:r w:rsidRPr="002E3C16">
        <w:rPr>
          <w:rFonts w:ascii="宋体" w:eastAsia="宋体" w:hAnsi="宋体" w:cs="Times New Roman" w:hint="eastAsia"/>
        </w:rPr>
        <w:t>全面滞销</w:t>
      </w:r>
      <w:r>
        <w:rPr>
          <w:rFonts w:ascii="宋体" w:eastAsia="宋体" w:hAnsi="宋体" w:cs="Times New Roman" w:hint="eastAsia"/>
        </w:rPr>
        <w:t>，长沙、嘉兴等刚需产品承压，</w:t>
      </w:r>
      <w:r w:rsidRPr="002E3C16">
        <w:rPr>
          <w:rFonts w:ascii="宋体" w:eastAsia="宋体" w:hAnsi="宋体" w:cs="Times New Roman" w:hint="eastAsia"/>
        </w:rPr>
        <w:t>小户型库存积压消化周期超</w:t>
      </w:r>
      <w:r w:rsidRPr="002E3C16">
        <w:rPr>
          <w:rFonts w:ascii="宋体" w:eastAsia="宋体" w:hAnsi="宋体" w:cs="Times New Roman"/>
        </w:rPr>
        <w:t>30个月，大面积去化相对无压力</w:t>
      </w:r>
      <w:r>
        <w:rPr>
          <w:rFonts w:ascii="宋体" w:eastAsia="宋体" w:hAnsi="宋体" w:cs="Times New Roman" w:hint="eastAsia"/>
        </w:rPr>
        <w:t>，</w:t>
      </w:r>
      <w:r w:rsidRPr="002E3C16">
        <w:rPr>
          <w:rFonts w:ascii="宋体" w:eastAsia="宋体" w:hAnsi="宋体" w:cs="Times New Roman" w:hint="eastAsia"/>
        </w:rPr>
        <w:t>资阳、濮阳等改善产品承压，</w:t>
      </w:r>
      <w:r w:rsidRPr="002E3C16">
        <w:rPr>
          <w:rFonts w:ascii="宋体" w:eastAsia="宋体" w:hAnsi="宋体" w:cs="Times New Roman"/>
        </w:rPr>
        <w:t>160</w:t>
      </w:r>
      <w:r w:rsidR="00F13738">
        <w:rPr>
          <w:rFonts w:ascii="宋体" w:eastAsia="宋体" w:hAnsi="宋体" w:cs="Times New Roman"/>
        </w:rPr>
        <w:t>㎡以上</w:t>
      </w:r>
      <w:r w:rsidRPr="002E3C16">
        <w:rPr>
          <w:rFonts w:ascii="宋体" w:eastAsia="宋体" w:hAnsi="宋体" w:cs="Times New Roman"/>
        </w:rPr>
        <w:t>大面积产品去化不畅、库存积压</w:t>
      </w:r>
      <w:r>
        <w:rPr>
          <w:rFonts w:ascii="宋体" w:eastAsia="宋体" w:hAnsi="宋体" w:cs="Times New Roman" w:hint="eastAsia"/>
        </w:rPr>
        <w:t>，莆田、运城等两头承压</w:t>
      </w:r>
      <w:r w:rsidRPr="002E3C16">
        <w:rPr>
          <w:rFonts w:ascii="宋体" w:eastAsia="宋体" w:hAnsi="宋体" w:cs="Times New Roman" w:hint="eastAsia"/>
        </w:rPr>
        <w:t>，中间面积段去化无忧，一大一小产品库存积压</w:t>
      </w:r>
      <w:r>
        <w:rPr>
          <w:rFonts w:ascii="宋体" w:eastAsia="宋体" w:hAnsi="宋体" w:cs="Times New Roman" w:hint="eastAsia"/>
        </w:rPr>
        <w:t>，成都、合肥等库存无虞。</w:t>
      </w:r>
    </w:p>
    <w:p w14:paraId="27390A4D" w14:textId="59DF5B7E" w:rsidR="005562B3" w:rsidRDefault="005562B3" w:rsidP="005562B3">
      <w:pPr>
        <w:spacing w:line="440" w:lineRule="exact"/>
        <w:jc w:val="left"/>
        <w:outlineLvl w:val="3"/>
        <w:rPr>
          <w:rFonts w:ascii="宋体" w:eastAsia="宋体" w:hAnsi="宋体" w:cs="方正兰亭中黑简体"/>
          <w:b/>
          <w:bCs/>
          <w:szCs w:val="21"/>
        </w:rPr>
      </w:pPr>
      <w:r>
        <w:rPr>
          <w:rFonts w:ascii="宋体" w:eastAsia="宋体" w:hAnsi="宋体" w:cs="方正兰亭中黑简体" w:hint="eastAsia"/>
          <w:b/>
          <w:bCs/>
          <w:szCs w:val="21"/>
        </w:rPr>
        <w:t>（1）多数</w:t>
      </w:r>
      <w:r>
        <w:rPr>
          <w:rFonts w:ascii="宋体" w:eastAsia="宋体" w:hAnsi="宋体" w:cs="方正兰亭中黑简体"/>
          <w:b/>
          <w:bCs/>
          <w:szCs w:val="21"/>
        </w:rPr>
        <w:t>城市</w:t>
      </w:r>
      <w:r>
        <w:rPr>
          <w:rFonts w:ascii="宋体" w:eastAsia="宋体" w:hAnsi="宋体" w:cs="方正兰亭中黑简体" w:hint="eastAsia"/>
          <w:b/>
          <w:bCs/>
          <w:szCs w:val="21"/>
        </w:rPr>
        <w:t>100-120</w:t>
      </w:r>
      <w:r w:rsidR="00F13738" w:rsidRPr="00F13738">
        <w:rPr>
          <w:rFonts w:ascii="宋体" w:eastAsia="宋体" w:hAnsi="宋体" w:cs="方正兰亭中黑简体" w:hint="eastAsia"/>
          <w:b/>
          <w:bCs/>
          <w:szCs w:val="21"/>
        </w:rPr>
        <w:t>㎡</w:t>
      </w:r>
      <w:r>
        <w:rPr>
          <w:rFonts w:ascii="宋体" w:eastAsia="宋体" w:hAnsi="宋体" w:cs="方正兰亭中黑简体"/>
          <w:b/>
          <w:bCs/>
          <w:szCs w:val="21"/>
        </w:rPr>
        <w:t>库存占比最</w:t>
      </w:r>
      <w:r>
        <w:rPr>
          <w:rFonts w:ascii="宋体" w:eastAsia="宋体" w:hAnsi="宋体" w:cs="方正兰亭中黑简体" w:hint="eastAsia"/>
          <w:b/>
          <w:bCs/>
          <w:szCs w:val="21"/>
        </w:rPr>
        <w:t>大</w:t>
      </w:r>
      <w:r>
        <w:rPr>
          <w:rFonts w:ascii="宋体" w:eastAsia="宋体" w:hAnsi="宋体" w:cs="方正兰亭中黑简体"/>
          <w:b/>
          <w:bCs/>
          <w:szCs w:val="21"/>
        </w:rPr>
        <w:t>，</w:t>
      </w:r>
      <w:r>
        <w:rPr>
          <w:rFonts w:ascii="宋体" w:eastAsia="宋体" w:hAnsi="宋体" w:cs="方正兰亭中黑简体" w:hint="eastAsia"/>
          <w:b/>
          <w:bCs/>
          <w:szCs w:val="21"/>
        </w:rPr>
        <w:t>厦门、</w:t>
      </w:r>
      <w:r>
        <w:rPr>
          <w:rFonts w:ascii="宋体" w:eastAsia="宋体" w:hAnsi="宋体" w:cs="方正兰亭中黑简体"/>
          <w:b/>
          <w:bCs/>
          <w:szCs w:val="21"/>
        </w:rPr>
        <w:t>广州等</w:t>
      </w:r>
      <w:r>
        <w:rPr>
          <w:rFonts w:ascii="宋体" w:eastAsia="宋体" w:hAnsi="宋体" w:cs="方正兰亭中黑简体" w:hint="eastAsia"/>
          <w:b/>
          <w:bCs/>
          <w:szCs w:val="21"/>
        </w:rPr>
        <w:t>70</w:t>
      </w:r>
      <w:r w:rsidR="00F13738">
        <w:rPr>
          <w:rFonts w:ascii="宋体" w:eastAsia="宋体" w:hAnsi="宋体" w:cs="方正兰亭中黑简体" w:hint="eastAsia"/>
          <w:b/>
          <w:bCs/>
          <w:szCs w:val="21"/>
        </w:rPr>
        <w:t>㎡以上</w:t>
      </w:r>
      <w:r>
        <w:rPr>
          <w:rFonts w:ascii="宋体" w:eastAsia="宋体" w:hAnsi="宋体" w:cs="方正兰亭中黑简体" w:hint="eastAsia"/>
          <w:b/>
          <w:bCs/>
          <w:szCs w:val="21"/>
        </w:rPr>
        <w:t>产品</w:t>
      </w:r>
      <w:r>
        <w:rPr>
          <w:rFonts w:ascii="宋体" w:eastAsia="宋体" w:hAnsi="宋体" w:cs="方正兰亭中黑简体"/>
          <w:b/>
          <w:bCs/>
          <w:szCs w:val="21"/>
        </w:rPr>
        <w:t>库存最多</w:t>
      </w:r>
    </w:p>
    <w:p w14:paraId="524CFE2B" w14:textId="7C773A22" w:rsidR="005562B3" w:rsidRDefault="005562B3" w:rsidP="005562B3">
      <w:pPr>
        <w:spacing w:line="440" w:lineRule="exact"/>
        <w:ind w:firstLineChars="200" w:firstLine="420"/>
        <w:rPr>
          <w:rFonts w:ascii="宋体" w:eastAsia="宋体" w:hAnsi="宋体" w:cs="Times New Roman"/>
        </w:rPr>
      </w:pPr>
      <w:r>
        <w:rPr>
          <w:rFonts w:ascii="宋体" w:eastAsia="宋体" w:hAnsi="宋体" w:cs="Times New Roman" w:hint="eastAsia"/>
        </w:rPr>
        <w:t>静态</w:t>
      </w:r>
      <w:r>
        <w:rPr>
          <w:rFonts w:ascii="宋体" w:eastAsia="宋体" w:hAnsi="宋体" w:cs="Times New Roman"/>
        </w:rPr>
        <w:t>来看，</w:t>
      </w:r>
      <w:r>
        <w:rPr>
          <w:rFonts w:ascii="宋体" w:eastAsia="宋体" w:hAnsi="宋体" w:cs="Times New Roman" w:hint="eastAsia"/>
        </w:rPr>
        <w:t xml:space="preserve"> CRIC重点</w:t>
      </w:r>
      <w:r>
        <w:rPr>
          <w:rFonts w:ascii="宋体" w:eastAsia="宋体" w:hAnsi="宋体" w:cs="Times New Roman"/>
        </w:rPr>
        <w:t>监测的城市中，</w:t>
      </w:r>
      <w:r w:rsidRPr="008438CD">
        <w:rPr>
          <w:rFonts w:ascii="宋体" w:eastAsia="宋体" w:hAnsi="宋体" w:cs="Times New Roman" w:hint="eastAsia"/>
          <w:b/>
        </w:rPr>
        <w:t>4成以上</w:t>
      </w:r>
      <w:r w:rsidRPr="008438CD">
        <w:rPr>
          <w:rFonts w:ascii="宋体" w:eastAsia="宋体" w:hAnsi="宋体" w:cs="Times New Roman"/>
          <w:b/>
        </w:rPr>
        <w:t>城市库存占比最大</w:t>
      </w:r>
      <w:r w:rsidRPr="008438CD">
        <w:rPr>
          <w:rFonts w:ascii="宋体" w:eastAsia="宋体" w:hAnsi="宋体" w:cs="Times New Roman" w:hint="eastAsia"/>
          <w:b/>
        </w:rPr>
        <w:t>的</w:t>
      </w:r>
      <w:r w:rsidRPr="008438CD">
        <w:rPr>
          <w:rFonts w:ascii="宋体" w:eastAsia="宋体" w:hAnsi="宋体" w:cs="Times New Roman"/>
          <w:b/>
        </w:rPr>
        <w:t>产品</w:t>
      </w:r>
      <w:r w:rsidRPr="008438CD">
        <w:rPr>
          <w:rFonts w:ascii="宋体" w:eastAsia="宋体" w:hAnsi="宋体" w:cs="Times New Roman" w:hint="eastAsia"/>
          <w:b/>
        </w:rPr>
        <w:t>是100-120</w:t>
      </w:r>
      <w:r w:rsidR="00F13738">
        <w:rPr>
          <w:rFonts w:ascii="宋体" w:eastAsia="宋体" w:hAnsi="宋体" w:cs="Times New Roman" w:hint="eastAsia"/>
          <w:b/>
        </w:rPr>
        <w:t>㎡户型</w:t>
      </w:r>
      <w:r>
        <w:rPr>
          <w:rFonts w:ascii="宋体" w:eastAsia="宋体" w:hAnsi="宋体" w:cs="Times New Roman"/>
        </w:rPr>
        <w:t>，</w:t>
      </w:r>
      <w:r>
        <w:rPr>
          <w:rFonts w:ascii="宋体" w:eastAsia="宋体" w:hAnsi="宋体" w:cs="Times New Roman" w:hint="eastAsia"/>
        </w:rPr>
        <w:t>7成</w:t>
      </w:r>
      <w:r>
        <w:rPr>
          <w:rFonts w:ascii="宋体" w:eastAsia="宋体" w:hAnsi="宋体" w:cs="Times New Roman"/>
        </w:rPr>
        <w:t>以上城市</w:t>
      </w:r>
      <w:r>
        <w:rPr>
          <w:rFonts w:ascii="宋体" w:eastAsia="宋体" w:hAnsi="宋体" w:cs="Times New Roman" w:hint="eastAsia"/>
        </w:rPr>
        <w:t>100-120</w:t>
      </w:r>
      <w:r w:rsidR="00F13738">
        <w:rPr>
          <w:rFonts w:ascii="宋体" w:eastAsia="宋体" w:hAnsi="宋体" w:cs="Times New Roman" w:hint="eastAsia"/>
        </w:rPr>
        <w:t>㎡产品</w:t>
      </w:r>
      <w:r>
        <w:rPr>
          <w:rFonts w:ascii="宋体" w:eastAsia="宋体" w:hAnsi="宋体" w:cs="Times New Roman"/>
        </w:rPr>
        <w:t>占比</w:t>
      </w:r>
      <w:r>
        <w:rPr>
          <w:rFonts w:ascii="宋体" w:eastAsia="宋体" w:hAnsi="宋体" w:cs="Times New Roman" w:hint="eastAsia"/>
        </w:rPr>
        <w:t>在20%以上</w:t>
      </w:r>
      <w:r>
        <w:rPr>
          <w:rFonts w:ascii="宋体" w:eastAsia="宋体" w:hAnsi="宋体" w:cs="Times New Roman"/>
        </w:rPr>
        <w:t>，</w:t>
      </w:r>
      <w:r>
        <w:rPr>
          <w:rFonts w:ascii="宋体" w:eastAsia="宋体" w:hAnsi="宋体" w:cs="Times New Roman" w:hint="eastAsia"/>
        </w:rPr>
        <w:t>但</w:t>
      </w:r>
      <w:r>
        <w:rPr>
          <w:rFonts w:ascii="宋体" w:eastAsia="宋体" w:hAnsi="宋体" w:cs="Times New Roman"/>
        </w:rPr>
        <w:t>这并</w:t>
      </w:r>
      <w:r>
        <w:rPr>
          <w:rFonts w:ascii="宋体" w:eastAsia="宋体" w:hAnsi="宋体" w:cs="Times New Roman" w:hint="eastAsia"/>
        </w:rPr>
        <w:t>不</w:t>
      </w:r>
      <w:r>
        <w:rPr>
          <w:rFonts w:ascii="宋体" w:eastAsia="宋体" w:hAnsi="宋体" w:cs="Times New Roman"/>
        </w:rPr>
        <w:t>意味着市场上</w:t>
      </w:r>
      <w:r>
        <w:rPr>
          <w:rFonts w:ascii="宋体" w:eastAsia="宋体" w:hAnsi="宋体" w:cs="Times New Roman" w:hint="eastAsia"/>
        </w:rPr>
        <w:t>100-120</w:t>
      </w:r>
      <w:r w:rsidR="00F13738">
        <w:rPr>
          <w:rFonts w:ascii="宋体" w:eastAsia="宋体" w:hAnsi="宋体" w:cs="Times New Roman" w:hint="eastAsia"/>
        </w:rPr>
        <w:t>㎡产品</w:t>
      </w:r>
      <w:r>
        <w:rPr>
          <w:rFonts w:ascii="宋体" w:eastAsia="宋体" w:hAnsi="宋体" w:cs="Times New Roman" w:hint="eastAsia"/>
        </w:rPr>
        <w:t>库存严重积压</w:t>
      </w:r>
      <w:r>
        <w:rPr>
          <w:rFonts w:ascii="宋体" w:eastAsia="宋体" w:hAnsi="宋体" w:cs="Times New Roman"/>
        </w:rPr>
        <w:t>，恰恰相反，</w:t>
      </w:r>
      <w:r>
        <w:rPr>
          <w:rFonts w:ascii="宋体" w:eastAsia="宋体" w:hAnsi="宋体" w:cs="Times New Roman" w:hint="eastAsia"/>
        </w:rPr>
        <w:t>结合</w:t>
      </w:r>
      <w:r>
        <w:rPr>
          <w:rFonts w:ascii="宋体" w:eastAsia="宋体" w:hAnsi="宋体" w:cs="Times New Roman"/>
        </w:rPr>
        <w:t>消化周期数据不难看出，这</w:t>
      </w:r>
      <w:r>
        <w:rPr>
          <w:rFonts w:ascii="宋体" w:eastAsia="宋体" w:hAnsi="宋体" w:cs="Times New Roman" w:hint="eastAsia"/>
        </w:rPr>
        <w:t>背后反映</w:t>
      </w:r>
      <w:r>
        <w:rPr>
          <w:rFonts w:ascii="宋体" w:eastAsia="宋体" w:hAnsi="宋体" w:cs="Times New Roman"/>
        </w:rPr>
        <w:t>的是</w:t>
      </w:r>
      <w:r>
        <w:rPr>
          <w:rFonts w:ascii="宋体" w:eastAsia="宋体" w:hAnsi="宋体" w:cs="Times New Roman" w:hint="eastAsia"/>
        </w:rPr>
        <w:t>购房者对</w:t>
      </w:r>
      <w:r>
        <w:rPr>
          <w:rFonts w:ascii="宋体" w:eastAsia="宋体" w:hAnsi="宋体" w:cs="Times New Roman"/>
        </w:rPr>
        <w:t>该</w:t>
      </w:r>
      <w:r>
        <w:rPr>
          <w:rFonts w:ascii="宋体" w:eastAsia="宋体" w:hAnsi="宋体" w:cs="Times New Roman" w:hint="eastAsia"/>
        </w:rPr>
        <w:t>类</w:t>
      </w:r>
      <w:r>
        <w:rPr>
          <w:rFonts w:ascii="宋体" w:eastAsia="宋体" w:hAnsi="宋体" w:cs="Times New Roman"/>
        </w:rPr>
        <w:t>产品的一致认可以及房企</w:t>
      </w:r>
      <w:r>
        <w:rPr>
          <w:rFonts w:ascii="宋体" w:eastAsia="宋体" w:hAnsi="宋体" w:cs="Times New Roman" w:hint="eastAsia"/>
        </w:rPr>
        <w:t>的</w:t>
      </w:r>
      <w:r>
        <w:rPr>
          <w:rFonts w:ascii="宋体" w:eastAsia="宋体" w:hAnsi="宋体" w:cs="Times New Roman"/>
        </w:rPr>
        <w:t>推货信心</w:t>
      </w:r>
      <w:r>
        <w:rPr>
          <w:rFonts w:ascii="宋体" w:eastAsia="宋体" w:hAnsi="宋体" w:cs="Times New Roman" w:hint="eastAsia"/>
        </w:rPr>
        <w:t>。例如</w:t>
      </w:r>
      <w:r>
        <w:rPr>
          <w:rFonts w:ascii="宋体" w:eastAsia="宋体" w:hAnsi="宋体" w:cs="Times New Roman"/>
        </w:rPr>
        <w:t>淮南，</w:t>
      </w:r>
      <w:r>
        <w:rPr>
          <w:rFonts w:ascii="宋体" w:eastAsia="宋体" w:hAnsi="宋体" w:cs="Times New Roman" w:hint="eastAsia"/>
        </w:rPr>
        <w:t>100-120</w:t>
      </w:r>
      <w:r w:rsidR="00F13738">
        <w:rPr>
          <w:rFonts w:ascii="宋体" w:eastAsia="宋体" w:hAnsi="宋体" w:cs="Times New Roman" w:hint="eastAsia"/>
        </w:rPr>
        <w:t>㎡户型</w:t>
      </w:r>
      <w:r>
        <w:rPr>
          <w:rFonts w:ascii="宋体" w:eastAsia="宋体" w:hAnsi="宋体" w:cs="Times New Roman" w:hint="eastAsia"/>
        </w:rPr>
        <w:t>是市场</w:t>
      </w:r>
      <w:r>
        <w:rPr>
          <w:rFonts w:ascii="宋体" w:eastAsia="宋体" w:hAnsi="宋体" w:cs="Times New Roman"/>
        </w:rPr>
        <w:t>绝对</w:t>
      </w:r>
      <w:r>
        <w:rPr>
          <w:rFonts w:ascii="宋体" w:eastAsia="宋体" w:hAnsi="宋体" w:cs="Times New Roman" w:hint="eastAsia"/>
        </w:rPr>
        <w:t>主力</w:t>
      </w:r>
      <w:r>
        <w:rPr>
          <w:rFonts w:ascii="宋体" w:eastAsia="宋体" w:hAnsi="宋体" w:cs="Times New Roman"/>
        </w:rPr>
        <w:t>，</w:t>
      </w:r>
      <w:r>
        <w:rPr>
          <w:rFonts w:ascii="宋体" w:eastAsia="宋体" w:hAnsi="宋体" w:cs="Times New Roman" w:hint="eastAsia"/>
        </w:rPr>
        <w:t>供求</w:t>
      </w:r>
      <w:r>
        <w:rPr>
          <w:rFonts w:ascii="宋体" w:eastAsia="宋体" w:hAnsi="宋体" w:cs="Times New Roman"/>
        </w:rPr>
        <w:t>套数占比</w:t>
      </w:r>
      <w:r>
        <w:rPr>
          <w:rFonts w:ascii="宋体" w:eastAsia="宋体" w:hAnsi="宋体" w:cs="Times New Roman" w:hint="eastAsia"/>
        </w:rPr>
        <w:t>在50%左右，库存</w:t>
      </w:r>
      <w:r>
        <w:rPr>
          <w:rFonts w:ascii="宋体" w:eastAsia="宋体" w:hAnsi="宋体" w:cs="Times New Roman"/>
        </w:rPr>
        <w:t>占比自然也多达</w:t>
      </w:r>
      <w:r>
        <w:rPr>
          <w:rFonts w:ascii="宋体" w:eastAsia="宋体" w:hAnsi="宋体" w:cs="Times New Roman" w:hint="eastAsia"/>
        </w:rPr>
        <w:t>40%。</w:t>
      </w:r>
    </w:p>
    <w:p w14:paraId="6EBF9B6C" w14:textId="267F7214" w:rsidR="005562B3" w:rsidRDefault="005562B3" w:rsidP="005562B3">
      <w:pPr>
        <w:spacing w:line="440" w:lineRule="exact"/>
        <w:ind w:firstLineChars="200" w:firstLine="420"/>
        <w:rPr>
          <w:rFonts w:ascii="宋体" w:eastAsia="宋体" w:hAnsi="宋体" w:cs="Times New Roman"/>
        </w:rPr>
      </w:pPr>
      <w:r>
        <w:rPr>
          <w:rFonts w:ascii="宋体" w:eastAsia="宋体" w:hAnsi="宋体" w:cs="Times New Roman" w:hint="eastAsia"/>
        </w:rPr>
        <w:t>同理</w:t>
      </w:r>
      <w:r>
        <w:rPr>
          <w:rFonts w:ascii="宋体" w:eastAsia="宋体" w:hAnsi="宋体" w:cs="Times New Roman"/>
        </w:rPr>
        <w:t>120-140</w:t>
      </w:r>
      <w:r w:rsidR="00F13738">
        <w:rPr>
          <w:rFonts w:ascii="宋体" w:eastAsia="宋体" w:hAnsi="宋体" w:cs="Times New Roman" w:hint="eastAsia"/>
        </w:rPr>
        <w:t>㎡户型</w:t>
      </w:r>
      <w:r>
        <w:rPr>
          <w:rFonts w:ascii="宋体" w:eastAsia="宋体" w:hAnsi="宋体" w:cs="Times New Roman" w:hint="eastAsia"/>
        </w:rPr>
        <w:t>产品</w:t>
      </w:r>
      <w:r>
        <w:rPr>
          <w:rFonts w:ascii="宋体" w:eastAsia="宋体" w:hAnsi="宋体" w:cs="Times New Roman"/>
        </w:rPr>
        <w:t>，由于</w:t>
      </w:r>
      <w:r>
        <w:rPr>
          <w:rFonts w:ascii="宋体" w:eastAsia="宋体" w:hAnsi="宋体" w:cs="Times New Roman" w:hint="eastAsia"/>
        </w:rPr>
        <w:t>供货</w:t>
      </w:r>
      <w:r>
        <w:rPr>
          <w:rFonts w:ascii="宋体" w:eastAsia="宋体" w:hAnsi="宋体" w:cs="Times New Roman"/>
        </w:rPr>
        <w:t>量</w:t>
      </w:r>
      <w:r>
        <w:rPr>
          <w:rFonts w:ascii="宋体" w:eastAsia="宋体" w:hAnsi="宋体" w:cs="Times New Roman" w:hint="eastAsia"/>
        </w:rPr>
        <w:t>相对</w:t>
      </w:r>
      <w:r>
        <w:rPr>
          <w:rFonts w:ascii="宋体" w:eastAsia="宋体" w:hAnsi="宋体" w:cs="Times New Roman"/>
        </w:rPr>
        <w:t>较大</w:t>
      </w:r>
      <w:r>
        <w:rPr>
          <w:rFonts w:ascii="宋体" w:eastAsia="宋体" w:hAnsi="宋体" w:cs="Times New Roman" w:hint="eastAsia"/>
        </w:rPr>
        <w:t>，也成为了多数</w:t>
      </w:r>
      <w:r>
        <w:rPr>
          <w:rFonts w:ascii="宋体" w:eastAsia="宋体" w:hAnsi="宋体" w:cs="Times New Roman"/>
        </w:rPr>
        <w:t>城市库存占比</w:t>
      </w:r>
      <w:r>
        <w:rPr>
          <w:rFonts w:ascii="宋体" w:eastAsia="宋体" w:hAnsi="宋体" w:cs="Times New Roman" w:hint="eastAsia"/>
        </w:rPr>
        <w:t>最高</w:t>
      </w:r>
      <w:r>
        <w:rPr>
          <w:rFonts w:ascii="宋体" w:eastAsia="宋体" w:hAnsi="宋体" w:cs="Times New Roman"/>
        </w:rPr>
        <w:t>或次高的</w:t>
      </w:r>
      <w:r>
        <w:rPr>
          <w:rFonts w:ascii="宋体" w:eastAsia="宋体" w:hAnsi="宋体" w:cs="Times New Roman" w:hint="eastAsia"/>
        </w:rPr>
        <w:t>产品种类</w:t>
      </w:r>
      <w:r>
        <w:rPr>
          <w:rFonts w:ascii="宋体" w:eastAsia="宋体" w:hAnsi="宋体" w:cs="Times New Roman"/>
        </w:rPr>
        <w:t>，</w:t>
      </w:r>
      <w:r>
        <w:rPr>
          <w:rFonts w:ascii="宋体" w:eastAsia="宋体" w:hAnsi="宋体" w:cs="Times New Roman" w:hint="eastAsia"/>
        </w:rPr>
        <w:t>据统计</w:t>
      </w:r>
      <w:r>
        <w:rPr>
          <w:rFonts w:ascii="宋体" w:eastAsia="宋体" w:hAnsi="宋体" w:cs="Times New Roman"/>
        </w:rPr>
        <w:t>，</w:t>
      </w:r>
      <w:r>
        <w:rPr>
          <w:rFonts w:ascii="宋体" w:eastAsia="宋体" w:hAnsi="宋体" w:cs="Times New Roman" w:hint="eastAsia"/>
          <w:b/>
        </w:rPr>
        <w:t>濮阳</w:t>
      </w:r>
      <w:r>
        <w:rPr>
          <w:rFonts w:ascii="宋体" w:eastAsia="宋体" w:hAnsi="宋体" w:cs="Times New Roman"/>
          <w:b/>
        </w:rPr>
        <w:t>、</w:t>
      </w:r>
      <w:r>
        <w:rPr>
          <w:rFonts w:ascii="宋体" w:eastAsia="宋体" w:hAnsi="宋体" w:cs="Times New Roman" w:hint="eastAsia"/>
          <w:b/>
        </w:rPr>
        <w:t>泉州</w:t>
      </w:r>
      <w:r>
        <w:rPr>
          <w:rFonts w:ascii="宋体" w:eastAsia="宋体" w:hAnsi="宋体" w:cs="Times New Roman"/>
          <w:b/>
        </w:rPr>
        <w:t>等半数以上重点监测城市120-140</w:t>
      </w:r>
      <w:r w:rsidR="00F13738">
        <w:rPr>
          <w:rFonts w:ascii="宋体" w:eastAsia="宋体" w:hAnsi="宋体" w:cs="Times New Roman" w:hint="eastAsia"/>
          <w:b/>
        </w:rPr>
        <w:t>㎡</w:t>
      </w:r>
      <w:r>
        <w:rPr>
          <w:rFonts w:ascii="宋体" w:eastAsia="宋体" w:hAnsi="宋体" w:cs="Times New Roman"/>
          <w:b/>
        </w:rPr>
        <w:t>产品库存占比超过了</w:t>
      </w:r>
      <w:r>
        <w:rPr>
          <w:rFonts w:ascii="宋体" w:eastAsia="宋体" w:hAnsi="宋体" w:cs="Times New Roman" w:hint="eastAsia"/>
          <w:b/>
        </w:rPr>
        <w:t>两成</w:t>
      </w:r>
      <w:r>
        <w:rPr>
          <w:rFonts w:ascii="宋体" w:eastAsia="宋体" w:hAnsi="宋体" w:cs="Times New Roman" w:hint="eastAsia"/>
        </w:rPr>
        <w:t>。</w:t>
      </w:r>
    </w:p>
    <w:p w14:paraId="47BA7C57" w14:textId="2898BF5A" w:rsidR="005562B3" w:rsidRPr="002E3C16" w:rsidRDefault="005562B3" w:rsidP="005562B3">
      <w:pPr>
        <w:spacing w:line="440" w:lineRule="exact"/>
        <w:ind w:firstLineChars="200" w:firstLine="420"/>
        <w:rPr>
          <w:rFonts w:ascii="宋体" w:eastAsia="宋体" w:hAnsi="宋体" w:cs="Times New Roman"/>
        </w:rPr>
      </w:pPr>
      <w:r w:rsidRPr="002E3C16">
        <w:rPr>
          <w:rFonts w:ascii="宋体" w:eastAsia="宋体" w:hAnsi="宋体" w:cs="Times New Roman" w:hint="eastAsia"/>
        </w:rPr>
        <w:t>除此之外</w:t>
      </w:r>
      <w:r w:rsidRPr="002E3C16">
        <w:rPr>
          <w:rFonts w:ascii="宋体" w:eastAsia="宋体" w:hAnsi="宋体" w:cs="Times New Roman"/>
        </w:rPr>
        <w:t>，</w:t>
      </w:r>
      <w:r w:rsidRPr="002E3C16">
        <w:rPr>
          <w:rFonts w:ascii="宋体" w:eastAsia="宋体" w:hAnsi="宋体" w:cs="Times New Roman" w:hint="eastAsia"/>
          <w:b/>
        </w:rPr>
        <w:t>广州</w:t>
      </w:r>
      <w:r>
        <w:rPr>
          <w:rFonts w:ascii="宋体" w:eastAsia="宋体" w:hAnsi="宋体" w:cs="Times New Roman"/>
          <w:b/>
        </w:rPr>
        <w:t>、</w:t>
      </w:r>
      <w:r>
        <w:rPr>
          <w:rFonts w:ascii="宋体" w:eastAsia="宋体" w:hAnsi="宋体" w:cs="Times New Roman" w:hint="eastAsia"/>
          <w:b/>
        </w:rPr>
        <w:t>厦门</w:t>
      </w:r>
      <w:r w:rsidRPr="002E3C16">
        <w:rPr>
          <w:rFonts w:ascii="宋体" w:eastAsia="宋体" w:hAnsi="宋体" w:cs="Times New Roman" w:hint="eastAsia"/>
          <w:b/>
        </w:rPr>
        <w:t>等</w:t>
      </w:r>
      <w:r w:rsidRPr="002E3C16">
        <w:rPr>
          <w:rFonts w:ascii="宋体" w:eastAsia="宋体" w:hAnsi="宋体" w:cs="Times New Roman"/>
          <w:b/>
        </w:rPr>
        <w:t>一二线及强三线城市</w:t>
      </w:r>
      <w:r w:rsidRPr="002E3C16">
        <w:rPr>
          <w:rFonts w:ascii="宋体" w:eastAsia="宋体" w:hAnsi="宋体" w:cs="Times New Roman" w:hint="eastAsia"/>
          <w:b/>
        </w:rPr>
        <w:t>70</w:t>
      </w:r>
      <w:r w:rsidR="00F13738">
        <w:rPr>
          <w:rFonts w:ascii="宋体" w:eastAsia="宋体" w:hAnsi="宋体" w:cs="Times New Roman" w:hint="eastAsia"/>
          <w:b/>
        </w:rPr>
        <w:t>㎡以上</w:t>
      </w:r>
      <w:r w:rsidRPr="002E3C16">
        <w:rPr>
          <w:rFonts w:ascii="宋体" w:eastAsia="宋体" w:hAnsi="宋体" w:cs="Times New Roman"/>
          <w:b/>
        </w:rPr>
        <w:t>产品库存</w:t>
      </w:r>
      <w:r>
        <w:rPr>
          <w:rFonts w:ascii="宋体" w:eastAsia="宋体" w:hAnsi="宋体" w:cs="Times New Roman" w:hint="eastAsia"/>
          <w:b/>
        </w:rPr>
        <w:t>占比偏高</w:t>
      </w:r>
      <w:r w:rsidRPr="002E3C16">
        <w:rPr>
          <w:rFonts w:ascii="宋体" w:eastAsia="宋体" w:hAnsi="宋体" w:cs="Times New Roman"/>
        </w:rPr>
        <w:t>。</w:t>
      </w:r>
      <w:r>
        <w:rPr>
          <w:rFonts w:ascii="宋体" w:eastAsia="宋体" w:hAnsi="宋体" w:cs="Times New Roman" w:hint="eastAsia"/>
        </w:rPr>
        <w:t>典型如</w:t>
      </w:r>
      <w:r>
        <w:rPr>
          <w:rFonts w:ascii="宋体" w:eastAsia="宋体" w:hAnsi="宋体" w:cs="Times New Roman"/>
        </w:rPr>
        <w:t>厦门，</w:t>
      </w:r>
      <w:r>
        <w:rPr>
          <w:rFonts w:ascii="宋体" w:eastAsia="宋体" w:hAnsi="宋体" w:cs="Times New Roman" w:hint="eastAsia"/>
        </w:rPr>
        <w:t>受制于</w:t>
      </w:r>
      <w:r>
        <w:rPr>
          <w:rFonts w:ascii="宋体" w:eastAsia="宋体" w:hAnsi="宋体" w:cs="Times New Roman"/>
        </w:rPr>
        <w:t>高房价，</w:t>
      </w:r>
      <w:r>
        <w:rPr>
          <w:rFonts w:ascii="宋体" w:eastAsia="宋体" w:hAnsi="宋体" w:cs="Times New Roman" w:hint="eastAsia"/>
        </w:rPr>
        <w:t>库存</w:t>
      </w:r>
      <w:r>
        <w:rPr>
          <w:rFonts w:ascii="宋体" w:eastAsia="宋体" w:hAnsi="宋体" w:cs="Times New Roman"/>
        </w:rPr>
        <w:t>结构也随着需求结构呈现</w:t>
      </w:r>
      <w:r>
        <w:rPr>
          <w:rFonts w:ascii="宋体" w:eastAsia="宋体" w:hAnsi="宋体" w:cs="Times New Roman" w:hint="eastAsia"/>
        </w:rPr>
        <w:t>面积</w:t>
      </w:r>
      <w:r>
        <w:rPr>
          <w:rFonts w:ascii="宋体" w:eastAsia="宋体" w:hAnsi="宋体" w:cs="Times New Roman"/>
        </w:rPr>
        <w:t>小型化态势，</w:t>
      </w:r>
      <w:r>
        <w:rPr>
          <w:rFonts w:ascii="宋体" w:eastAsia="宋体" w:hAnsi="宋体" w:cs="Times New Roman" w:hint="eastAsia"/>
        </w:rPr>
        <w:t>70</w:t>
      </w:r>
      <w:r w:rsidR="00F13738">
        <w:rPr>
          <w:rFonts w:ascii="宋体" w:eastAsia="宋体" w:hAnsi="宋体" w:cs="Times New Roman" w:hint="eastAsia"/>
        </w:rPr>
        <w:t>㎡</w:t>
      </w:r>
      <w:r>
        <w:rPr>
          <w:rFonts w:ascii="宋体" w:eastAsia="宋体" w:hAnsi="宋体" w:cs="Times New Roman"/>
        </w:rPr>
        <w:t>以下产品占比多达</w:t>
      </w:r>
      <w:r>
        <w:rPr>
          <w:rFonts w:ascii="宋体" w:eastAsia="宋体" w:hAnsi="宋体" w:cs="Times New Roman" w:hint="eastAsia"/>
        </w:rPr>
        <w:t>26%，</w:t>
      </w:r>
      <w:r>
        <w:rPr>
          <w:rFonts w:ascii="宋体" w:eastAsia="宋体" w:hAnsi="宋体" w:cs="Times New Roman"/>
        </w:rPr>
        <w:t>是各类产品</w:t>
      </w:r>
      <w:r>
        <w:rPr>
          <w:rFonts w:ascii="宋体" w:eastAsia="宋体" w:hAnsi="宋体" w:cs="Times New Roman" w:hint="eastAsia"/>
        </w:rPr>
        <w:t>库存</w:t>
      </w:r>
      <w:r>
        <w:rPr>
          <w:rFonts w:ascii="宋体" w:eastAsia="宋体" w:hAnsi="宋体" w:cs="Times New Roman"/>
        </w:rPr>
        <w:t>占比最高的，</w:t>
      </w:r>
      <w:r>
        <w:rPr>
          <w:rFonts w:ascii="宋体" w:eastAsia="宋体" w:hAnsi="宋体" w:cs="Times New Roman" w:hint="eastAsia"/>
        </w:rPr>
        <w:t>80-90</w:t>
      </w:r>
      <w:r w:rsidR="00F13738">
        <w:rPr>
          <w:rFonts w:ascii="宋体" w:eastAsia="宋体" w:hAnsi="宋体" w:cs="Times New Roman" w:hint="eastAsia"/>
        </w:rPr>
        <w:t>㎡产品</w:t>
      </w:r>
      <w:r>
        <w:rPr>
          <w:rFonts w:ascii="宋体" w:eastAsia="宋体" w:hAnsi="宋体" w:cs="Times New Roman"/>
        </w:rPr>
        <w:t>占比也</w:t>
      </w:r>
      <w:r>
        <w:rPr>
          <w:rFonts w:ascii="宋体" w:eastAsia="宋体" w:hAnsi="宋体" w:cs="Times New Roman" w:hint="eastAsia"/>
        </w:rPr>
        <w:t>接近20%。</w:t>
      </w:r>
    </w:p>
    <w:p w14:paraId="5840E40E" w14:textId="77777777" w:rsidR="005562B3" w:rsidRPr="00E25190" w:rsidRDefault="005562B3" w:rsidP="005562B3">
      <w:pPr>
        <w:spacing w:line="400" w:lineRule="exact"/>
        <w:jc w:val="center"/>
        <w:rPr>
          <w:rFonts w:ascii="宋体" w:eastAsia="宋体" w:hAnsi="宋体" w:cs="Times New Roman"/>
          <w:b/>
        </w:rPr>
      </w:pPr>
      <w:r>
        <w:rPr>
          <w:rFonts w:ascii="宋体" w:eastAsia="宋体" w:hAnsi="宋体" w:cs="Times New Roman" w:hint="eastAsia"/>
          <w:b/>
        </w:rPr>
        <w:lastRenderedPageBreak/>
        <w:t>表</w:t>
      </w:r>
      <w:r w:rsidRPr="00E25190">
        <w:rPr>
          <w:rFonts w:ascii="宋体" w:eastAsia="宋体" w:hAnsi="宋体" w:cs="Times New Roman" w:hint="eastAsia"/>
          <w:b/>
        </w:rPr>
        <w:t>：2022年末典型</w:t>
      </w:r>
      <w:r w:rsidRPr="00E25190">
        <w:rPr>
          <w:rFonts w:ascii="宋体" w:eastAsia="宋体" w:hAnsi="宋体" w:cs="Times New Roman"/>
          <w:b/>
        </w:rPr>
        <w:t>城市</w:t>
      </w:r>
      <w:r w:rsidRPr="00E25190">
        <w:rPr>
          <w:rFonts w:ascii="宋体" w:eastAsia="宋体" w:hAnsi="宋体" w:cs="Times New Roman" w:hint="eastAsia"/>
          <w:b/>
        </w:rPr>
        <w:t>分面积段狭义库存占比</w:t>
      </w:r>
    </w:p>
    <w:tbl>
      <w:tblPr>
        <w:tblW w:w="0" w:type="auto"/>
        <w:jc w:val="center"/>
        <w:tblLook w:val="04A0" w:firstRow="1" w:lastRow="0" w:firstColumn="1" w:lastColumn="0" w:noHBand="0" w:noVBand="1"/>
      </w:tblPr>
      <w:tblGrid>
        <w:gridCol w:w="618"/>
        <w:gridCol w:w="870"/>
        <w:gridCol w:w="720"/>
        <w:gridCol w:w="720"/>
        <w:gridCol w:w="821"/>
        <w:gridCol w:w="922"/>
        <w:gridCol w:w="922"/>
        <w:gridCol w:w="922"/>
        <w:gridCol w:w="922"/>
        <w:gridCol w:w="971"/>
      </w:tblGrid>
      <w:tr w:rsidR="005562B3" w:rsidRPr="00E25190" w14:paraId="500253F9" w14:textId="77777777" w:rsidTr="00B44D37">
        <w:trPr>
          <w:trHeight w:val="270"/>
          <w:jc w:val="center"/>
        </w:trPr>
        <w:tc>
          <w:tcPr>
            <w:tcW w:w="0" w:type="auto"/>
            <w:tcBorders>
              <w:top w:val="single" w:sz="4" w:space="0" w:color="auto"/>
              <w:left w:val="nil"/>
              <w:bottom w:val="single" w:sz="4" w:space="0" w:color="auto"/>
              <w:right w:val="nil"/>
            </w:tcBorders>
            <w:shd w:val="clear" w:color="000000" w:fill="44A89A"/>
            <w:noWrap/>
            <w:vAlign w:val="center"/>
            <w:hideMark/>
          </w:tcPr>
          <w:p w14:paraId="4C79CDBE"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城市</w:t>
            </w:r>
          </w:p>
        </w:tc>
        <w:tc>
          <w:tcPr>
            <w:tcW w:w="0" w:type="auto"/>
            <w:tcBorders>
              <w:top w:val="single" w:sz="4" w:space="0" w:color="auto"/>
              <w:left w:val="nil"/>
              <w:bottom w:val="single" w:sz="4" w:space="0" w:color="auto"/>
              <w:right w:val="nil"/>
            </w:tcBorders>
            <w:shd w:val="clear" w:color="000000" w:fill="44A89A"/>
            <w:noWrap/>
            <w:vAlign w:val="center"/>
            <w:hideMark/>
          </w:tcPr>
          <w:p w14:paraId="77D6D7FF"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70以下</w:t>
            </w:r>
          </w:p>
        </w:tc>
        <w:tc>
          <w:tcPr>
            <w:tcW w:w="0" w:type="auto"/>
            <w:tcBorders>
              <w:top w:val="single" w:sz="4" w:space="0" w:color="auto"/>
              <w:left w:val="nil"/>
              <w:bottom w:val="single" w:sz="4" w:space="0" w:color="auto"/>
              <w:right w:val="nil"/>
            </w:tcBorders>
            <w:shd w:val="clear" w:color="000000" w:fill="44A89A"/>
            <w:noWrap/>
            <w:vAlign w:val="center"/>
            <w:hideMark/>
          </w:tcPr>
          <w:p w14:paraId="08295A03"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70-80</w:t>
            </w:r>
          </w:p>
        </w:tc>
        <w:tc>
          <w:tcPr>
            <w:tcW w:w="0" w:type="auto"/>
            <w:tcBorders>
              <w:top w:val="single" w:sz="4" w:space="0" w:color="auto"/>
              <w:left w:val="nil"/>
              <w:bottom w:val="single" w:sz="4" w:space="0" w:color="auto"/>
              <w:right w:val="nil"/>
            </w:tcBorders>
            <w:shd w:val="clear" w:color="000000" w:fill="44A89A"/>
            <w:noWrap/>
            <w:vAlign w:val="center"/>
            <w:hideMark/>
          </w:tcPr>
          <w:p w14:paraId="356EC8AF"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80-90</w:t>
            </w:r>
          </w:p>
        </w:tc>
        <w:tc>
          <w:tcPr>
            <w:tcW w:w="0" w:type="auto"/>
            <w:tcBorders>
              <w:top w:val="single" w:sz="4" w:space="0" w:color="auto"/>
              <w:left w:val="nil"/>
              <w:bottom w:val="single" w:sz="4" w:space="0" w:color="auto"/>
              <w:right w:val="nil"/>
            </w:tcBorders>
            <w:shd w:val="clear" w:color="000000" w:fill="44A89A"/>
            <w:noWrap/>
            <w:vAlign w:val="center"/>
            <w:hideMark/>
          </w:tcPr>
          <w:p w14:paraId="76159FC3"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90-100</w:t>
            </w:r>
          </w:p>
        </w:tc>
        <w:tc>
          <w:tcPr>
            <w:tcW w:w="0" w:type="auto"/>
            <w:tcBorders>
              <w:top w:val="single" w:sz="4" w:space="0" w:color="auto"/>
              <w:left w:val="nil"/>
              <w:bottom w:val="single" w:sz="4" w:space="0" w:color="auto"/>
              <w:right w:val="nil"/>
            </w:tcBorders>
            <w:shd w:val="clear" w:color="000000" w:fill="44A89A"/>
            <w:noWrap/>
            <w:vAlign w:val="center"/>
            <w:hideMark/>
          </w:tcPr>
          <w:p w14:paraId="369EF2E7"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100-120</w:t>
            </w:r>
          </w:p>
        </w:tc>
        <w:tc>
          <w:tcPr>
            <w:tcW w:w="0" w:type="auto"/>
            <w:tcBorders>
              <w:top w:val="single" w:sz="4" w:space="0" w:color="auto"/>
              <w:left w:val="nil"/>
              <w:bottom w:val="single" w:sz="4" w:space="0" w:color="auto"/>
              <w:right w:val="nil"/>
            </w:tcBorders>
            <w:shd w:val="clear" w:color="000000" w:fill="44A89A"/>
            <w:noWrap/>
            <w:vAlign w:val="center"/>
            <w:hideMark/>
          </w:tcPr>
          <w:p w14:paraId="0AD95386"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120-140</w:t>
            </w:r>
          </w:p>
        </w:tc>
        <w:tc>
          <w:tcPr>
            <w:tcW w:w="0" w:type="auto"/>
            <w:tcBorders>
              <w:top w:val="single" w:sz="4" w:space="0" w:color="auto"/>
              <w:left w:val="nil"/>
              <w:bottom w:val="single" w:sz="4" w:space="0" w:color="auto"/>
              <w:right w:val="nil"/>
            </w:tcBorders>
            <w:shd w:val="clear" w:color="000000" w:fill="44A89A"/>
            <w:noWrap/>
            <w:vAlign w:val="center"/>
            <w:hideMark/>
          </w:tcPr>
          <w:p w14:paraId="4E65F9B8"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140-160</w:t>
            </w:r>
          </w:p>
        </w:tc>
        <w:tc>
          <w:tcPr>
            <w:tcW w:w="0" w:type="auto"/>
            <w:tcBorders>
              <w:top w:val="single" w:sz="4" w:space="0" w:color="auto"/>
              <w:left w:val="nil"/>
              <w:bottom w:val="single" w:sz="4" w:space="0" w:color="auto"/>
              <w:right w:val="nil"/>
            </w:tcBorders>
            <w:shd w:val="clear" w:color="000000" w:fill="44A89A"/>
            <w:noWrap/>
            <w:vAlign w:val="center"/>
            <w:hideMark/>
          </w:tcPr>
          <w:p w14:paraId="3929F0F8"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160-180</w:t>
            </w:r>
          </w:p>
        </w:tc>
        <w:tc>
          <w:tcPr>
            <w:tcW w:w="0" w:type="auto"/>
            <w:tcBorders>
              <w:top w:val="single" w:sz="4" w:space="0" w:color="auto"/>
              <w:left w:val="nil"/>
              <w:bottom w:val="single" w:sz="4" w:space="0" w:color="auto"/>
              <w:right w:val="nil"/>
            </w:tcBorders>
            <w:shd w:val="clear" w:color="000000" w:fill="44A89A"/>
            <w:noWrap/>
            <w:vAlign w:val="center"/>
            <w:hideMark/>
          </w:tcPr>
          <w:p w14:paraId="190E2DDE" w14:textId="77777777" w:rsidR="005562B3" w:rsidRPr="00E25190" w:rsidRDefault="005562B3" w:rsidP="00B44D37">
            <w:pPr>
              <w:widowControl/>
              <w:jc w:val="center"/>
              <w:rPr>
                <w:rFonts w:ascii="宋体" w:eastAsia="宋体" w:hAnsi="宋体" w:cs="宋体"/>
                <w:b/>
                <w:bCs/>
                <w:color w:val="FFFFFF"/>
                <w:kern w:val="0"/>
                <w:sz w:val="20"/>
                <w:szCs w:val="20"/>
              </w:rPr>
            </w:pPr>
            <w:r w:rsidRPr="00E25190">
              <w:rPr>
                <w:rFonts w:ascii="宋体" w:eastAsia="宋体" w:hAnsi="宋体" w:cs="宋体" w:hint="eastAsia"/>
                <w:b/>
                <w:bCs/>
                <w:color w:val="FFFFFF"/>
                <w:kern w:val="0"/>
                <w:sz w:val="20"/>
                <w:szCs w:val="20"/>
              </w:rPr>
              <w:t>180以上</w:t>
            </w:r>
          </w:p>
        </w:tc>
      </w:tr>
      <w:tr w:rsidR="005562B3" w:rsidRPr="00E25190" w14:paraId="762DE8EB"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045C456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济南</w:t>
            </w:r>
          </w:p>
        </w:tc>
        <w:tc>
          <w:tcPr>
            <w:tcW w:w="0" w:type="auto"/>
            <w:tcBorders>
              <w:top w:val="nil"/>
              <w:left w:val="nil"/>
              <w:bottom w:val="nil"/>
              <w:right w:val="nil"/>
            </w:tcBorders>
            <w:shd w:val="clear" w:color="auto" w:fill="auto"/>
            <w:noWrap/>
            <w:vAlign w:val="center"/>
            <w:hideMark/>
          </w:tcPr>
          <w:p w14:paraId="62DE96D8"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32%</w:t>
            </w:r>
          </w:p>
        </w:tc>
        <w:tc>
          <w:tcPr>
            <w:tcW w:w="0" w:type="auto"/>
            <w:tcBorders>
              <w:top w:val="nil"/>
              <w:left w:val="nil"/>
              <w:bottom w:val="nil"/>
              <w:right w:val="nil"/>
            </w:tcBorders>
            <w:shd w:val="clear" w:color="auto" w:fill="auto"/>
            <w:noWrap/>
            <w:vAlign w:val="center"/>
            <w:hideMark/>
          </w:tcPr>
          <w:p w14:paraId="104DB8E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10BC61D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26027E1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48AB7A3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22%</w:t>
            </w:r>
          </w:p>
        </w:tc>
        <w:tc>
          <w:tcPr>
            <w:tcW w:w="0" w:type="auto"/>
            <w:tcBorders>
              <w:top w:val="nil"/>
              <w:left w:val="nil"/>
              <w:bottom w:val="nil"/>
              <w:right w:val="nil"/>
            </w:tcBorders>
            <w:shd w:val="clear" w:color="auto" w:fill="auto"/>
            <w:noWrap/>
            <w:vAlign w:val="center"/>
            <w:hideMark/>
          </w:tcPr>
          <w:p w14:paraId="757D601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17%</w:t>
            </w:r>
          </w:p>
        </w:tc>
        <w:tc>
          <w:tcPr>
            <w:tcW w:w="0" w:type="auto"/>
            <w:tcBorders>
              <w:top w:val="nil"/>
              <w:left w:val="nil"/>
              <w:bottom w:val="nil"/>
              <w:right w:val="nil"/>
            </w:tcBorders>
            <w:shd w:val="clear" w:color="auto" w:fill="auto"/>
            <w:noWrap/>
            <w:vAlign w:val="center"/>
            <w:hideMark/>
          </w:tcPr>
          <w:p w14:paraId="65DCE5D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666B4B7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3D3A071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5%</w:t>
            </w:r>
          </w:p>
        </w:tc>
      </w:tr>
      <w:tr w:rsidR="005562B3" w:rsidRPr="00E25190" w14:paraId="185526D2"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5A4D861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南京</w:t>
            </w:r>
          </w:p>
        </w:tc>
        <w:tc>
          <w:tcPr>
            <w:tcW w:w="0" w:type="auto"/>
            <w:tcBorders>
              <w:top w:val="nil"/>
              <w:left w:val="nil"/>
              <w:bottom w:val="nil"/>
              <w:right w:val="nil"/>
            </w:tcBorders>
            <w:shd w:val="clear" w:color="auto" w:fill="auto"/>
            <w:noWrap/>
            <w:vAlign w:val="center"/>
            <w:hideMark/>
          </w:tcPr>
          <w:p w14:paraId="6B1E10D2"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26%</w:t>
            </w:r>
          </w:p>
        </w:tc>
        <w:tc>
          <w:tcPr>
            <w:tcW w:w="0" w:type="auto"/>
            <w:tcBorders>
              <w:top w:val="nil"/>
              <w:left w:val="nil"/>
              <w:bottom w:val="nil"/>
              <w:right w:val="nil"/>
            </w:tcBorders>
            <w:shd w:val="clear" w:color="auto" w:fill="auto"/>
            <w:noWrap/>
            <w:vAlign w:val="center"/>
            <w:hideMark/>
          </w:tcPr>
          <w:p w14:paraId="7B783AC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4E73D31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4C76CBE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c>
          <w:tcPr>
            <w:tcW w:w="0" w:type="auto"/>
            <w:tcBorders>
              <w:top w:val="nil"/>
              <w:left w:val="nil"/>
              <w:bottom w:val="nil"/>
              <w:right w:val="nil"/>
            </w:tcBorders>
            <w:shd w:val="clear" w:color="auto" w:fill="auto"/>
            <w:noWrap/>
            <w:vAlign w:val="center"/>
            <w:hideMark/>
          </w:tcPr>
          <w:p w14:paraId="0478A0D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19%</w:t>
            </w:r>
          </w:p>
        </w:tc>
        <w:tc>
          <w:tcPr>
            <w:tcW w:w="0" w:type="auto"/>
            <w:tcBorders>
              <w:top w:val="nil"/>
              <w:left w:val="nil"/>
              <w:bottom w:val="nil"/>
              <w:right w:val="nil"/>
            </w:tcBorders>
            <w:shd w:val="clear" w:color="auto" w:fill="auto"/>
            <w:noWrap/>
            <w:vAlign w:val="center"/>
            <w:hideMark/>
          </w:tcPr>
          <w:p w14:paraId="22BEA4E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06CA15F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11B9F7A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265EA7B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r>
      <w:tr w:rsidR="005562B3" w:rsidRPr="00E25190" w14:paraId="7B90F6BB"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15BF0C2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广州</w:t>
            </w:r>
          </w:p>
        </w:tc>
        <w:tc>
          <w:tcPr>
            <w:tcW w:w="0" w:type="auto"/>
            <w:tcBorders>
              <w:top w:val="nil"/>
              <w:left w:val="nil"/>
              <w:bottom w:val="nil"/>
              <w:right w:val="nil"/>
            </w:tcBorders>
            <w:shd w:val="clear" w:color="auto" w:fill="auto"/>
            <w:noWrap/>
            <w:vAlign w:val="center"/>
            <w:hideMark/>
          </w:tcPr>
          <w:p w14:paraId="5D40E630"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22%</w:t>
            </w:r>
          </w:p>
        </w:tc>
        <w:tc>
          <w:tcPr>
            <w:tcW w:w="0" w:type="auto"/>
            <w:tcBorders>
              <w:top w:val="nil"/>
              <w:left w:val="nil"/>
              <w:bottom w:val="nil"/>
              <w:right w:val="nil"/>
            </w:tcBorders>
            <w:shd w:val="clear" w:color="auto" w:fill="auto"/>
            <w:noWrap/>
            <w:vAlign w:val="center"/>
            <w:hideMark/>
          </w:tcPr>
          <w:p w14:paraId="1DCBB2F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2A9DFE1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0A2A311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15%</w:t>
            </w:r>
          </w:p>
        </w:tc>
        <w:tc>
          <w:tcPr>
            <w:tcW w:w="0" w:type="auto"/>
            <w:tcBorders>
              <w:top w:val="nil"/>
              <w:left w:val="nil"/>
              <w:bottom w:val="nil"/>
              <w:right w:val="nil"/>
            </w:tcBorders>
            <w:shd w:val="clear" w:color="auto" w:fill="auto"/>
            <w:noWrap/>
            <w:vAlign w:val="center"/>
            <w:hideMark/>
          </w:tcPr>
          <w:p w14:paraId="0FAB278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19%</w:t>
            </w:r>
          </w:p>
        </w:tc>
        <w:tc>
          <w:tcPr>
            <w:tcW w:w="0" w:type="auto"/>
            <w:tcBorders>
              <w:top w:val="nil"/>
              <w:left w:val="nil"/>
              <w:bottom w:val="nil"/>
              <w:right w:val="nil"/>
            </w:tcBorders>
            <w:shd w:val="clear" w:color="auto" w:fill="auto"/>
            <w:noWrap/>
            <w:vAlign w:val="center"/>
            <w:hideMark/>
          </w:tcPr>
          <w:p w14:paraId="3418923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12%</w:t>
            </w:r>
          </w:p>
        </w:tc>
        <w:tc>
          <w:tcPr>
            <w:tcW w:w="0" w:type="auto"/>
            <w:tcBorders>
              <w:top w:val="nil"/>
              <w:left w:val="nil"/>
              <w:bottom w:val="nil"/>
              <w:right w:val="nil"/>
            </w:tcBorders>
            <w:shd w:val="clear" w:color="auto" w:fill="auto"/>
            <w:noWrap/>
            <w:vAlign w:val="center"/>
            <w:hideMark/>
          </w:tcPr>
          <w:p w14:paraId="2DAEA4A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1FEF252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347159D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5%</w:t>
            </w:r>
          </w:p>
        </w:tc>
      </w:tr>
      <w:tr w:rsidR="005562B3" w:rsidRPr="00E25190" w14:paraId="4CA766CB"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03564B6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绍兴</w:t>
            </w:r>
          </w:p>
        </w:tc>
        <w:tc>
          <w:tcPr>
            <w:tcW w:w="0" w:type="auto"/>
            <w:tcBorders>
              <w:top w:val="nil"/>
              <w:left w:val="nil"/>
              <w:bottom w:val="nil"/>
              <w:right w:val="nil"/>
            </w:tcBorders>
            <w:shd w:val="clear" w:color="auto" w:fill="auto"/>
            <w:noWrap/>
            <w:vAlign w:val="center"/>
            <w:hideMark/>
          </w:tcPr>
          <w:p w14:paraId="2097CF24"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21%</w:t>
            </w:r>
          </w:p>
        </w:tc>
        <w:tc>
          <w:tcPr>
            <w:tcW w:w="0" w:type="auto"/>
            <w:tcBorders>
              <w:top w:val="nil"/>
              <w:left w:val="nil"/>
              <w:bottom w:val="nil"/>
              <w:right w:val="nil"/>
            </w:tcBorders>
            <w:shd w:val="clear" w:color="auto" w:fill="auto"/>
            <w:noWrap/>
            <w:vAlign w:val="center"/>
            <w:hideMark/>
          </w:tcPr>
          <w:p w14:paraId="7AF2634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5%</w:t>
            </w:r>
          </w:p>
        </w:tc>
        <w:tc>
          <w:tcPr>
            <w:tcW w:w="0" w:type="auto"/>
            <w:tcBorders>
              <w:top w:val="nil"/>
              <w:left w:val="nil"/>
              <w:bottom w:val="nil"/>
              <w:right w:val="nil"/>
            </w:tcBorders>
            <w:shd w:val="clear" w:color="auto" w:fill="auto"/>
            <w:noWrap/>
            <w:vAlign w:val="center"/>
            <w:hideMark/>
          </w:tcPr>
          <w:p w14:paraId="3FD88F4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71FCD4C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10%</w:t>
            </w:r>
          </w:p>
        </w:tc>
        <w:tc>
          <w:tcPr>
            <w:tcW w:w="0" w:type="auto"/>
            <w:tcBorders>
              <w:top w:val="nil"/>
              <w:left w:val="nil"/>
              <w:bottom w:val="nil"/>
              <w:right w:val="nil"/>
            </w:tcBorders>
            <w:shd w:val="clear" w:color="auto" w:fill="auto"/>
            <w:noWrap/>
            <w:vAlign w:val="center"/>
            <w:hideMark/>
          </w:tcPr>
          <w:p w14:paraId="0B7BD58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15%</w:t>
            </w:r>
          </w:p>
        </w:tc>
        <w:tc>
          <w:tcPr>
            <w:tcW w:w="0" w:type="auto"/>
            <w:tcBorders>
              <w:top w:val="nil"/>
              <w:left w:val="nil"/>
              <w:bottom w:val="nil"/>
              <w:right w:val="nil"/>
            </w:tcBorders>
            <w:shd w:val="clear" w:color="auto" w:fill="auto"/>
            <w:noWrap/>
            <w:vAlign w:val="center"/>
            <w:hideMark/>
          </w:tcPr>
          <w:p w14:paraId="28BB397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19%</w:t>
            </w:r>
          </w:p>
        </w:tc>
        <w:tc>
          <w:tcPr>
            <w:tcW w:w="0" w:type="auto"/>
            <w:tcBorders>
              <w:top w:val="nil"/>
              <w:left w:val="nil"/>
              <w:bottom w:val="nil"/>
              <w:right w:val="nil"/>
            </w:tcBorders>
            <w:shd w:val="clear" w:color="auto" w:fill="auto"/>
            <w:noWrap/>
            <w:vAlign w:val="center"/>
            <w:hideMark/>
          </w:tcPr>
          <w:p w14:paraId="3199590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62F8917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c>
          <w:tcPr>
            <w:tcW w:w="0" w:type="auto"/>
            <w:tcBorders>
              <w:top w:val="nil"/>
              <w:left w:val="nil"/>
              <w:bottom w:val="nil"/>
              <w:right w:val="nil"/>
            </w:tcBorders>
            <w:shd w:val="clear" w:color="auto" w:fill="auto"/>
            <w:noWrap/>
            <w:vAlign w:val="center"/>
            <w:hideMark/>
          </w:tcPr>
          <w:p w14:paraId="74F0959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11%</w:t>
            </w:r>
          </w:p>
        </w:tc>
      </w:tr>
      <w:tr w:rsidR="005562B3" w:rsidRPr="00E25190" w14:paraId="47C0515F"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4D1F68B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厦门</w:t>
            </w:r>
          </w:p>
        </w:tc>
        <w:tc>
          <w:tcPr>
            <w:tcW w:w="0" w:type="auto"/>
            <w:tcBorders>
              <w:top w:val="nil"/>
              <w:left w:val="nil"/>
              <w:bottom w:val="nil"/>
              <w:right w:val="nil"/>
            </w:tcBorders>
            <w:shd w:val="clear" w:color="auto" w:fill="auto"/>
            <w:noWrap/>
            <w:vAlign w:val="center"/>
            <w:hideMark/>
          </w:tcPr>
          <w:p w14:paraId="49010EB2"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26%</w:t>
            </w:r>
          </w:p>
        </w:tc>
        <w:tc>
          <w:tcPr>
            <w:tcW w:w="0" w:type="auto"/>
            <w:tcBorders>
              <w:top w:val="nil"/>
              <w:left w:val="nil"/>
              <w:bottom w:val="nil"/>
              <w:right w:val="nil"/>
            </w:tcBorders>
            <w:shd w:val="clear" w:color="auto" w:fill="auto"/>
            <w:noWrap/>
            <w:vAlign w:val="center"/>
            <w:hideMark/>
          </w:tcPr>
          <w:p w14:paraId="489D90D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5FC966B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19%</w:t>
            </w:r>
          </w:p>
        </w:tc>
        <w:tc>
          <w:tcPr>
            <w:tcW w:w="0" w:type="auto"/>
            <w:tcBorders>
              <w:top w:val="nil"/>
              <w:left w:val="nil"/>
              <w:bottom w:val="nil"/>
              <w:right w:val="nil"/>
            </w:tcBorders>
            <w:shd w:val="clear" w:color="auto" w:fill="auto"/>
            <w:noWrap/>
            <w:vAlign w:val="center"/>
            <w:hideMark/>
          </w:tcPr>
          <w:p w14:paraId="4C76243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10%</w:t>
            </w:r>
          </w:p>
        </w:tc>
        <w:tc>
          <w:tcPr>
            <w:tcW w:w="0" w:type="auto"/>
            <w:tcBorders>
              <w:top w:val="nil"/>
              <w:left w:val="nil"/>
              <w:bottom w:val="nil"/>
              <w:right w:val="nil"/>
            </w:tcBorders>
            <w:shd w:val="clear" w:color="auto" w:fill="auto"/>
            <w:noWrap/>
            <w:vAlign w:val="center"/>
            <w:hideMark/>
          </w:tcPr>
          <w:p w14:paraId="6B58327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13%</w:t>
            </w:r>
          </w:p>
        </w:tc>
        <w:tc>
          <w:tcPr>
            <w:tcW w:w="0" w:type="auto"/>
            <w:tcBorders>
              <w:top w:val="nil"/>
              <w:left w:val="nil"/>
              <w:bottom w:val="nil"/>
              <w:right w:val="nil"/>
            </w:tcBorders>
            <w:shd w:val="clear" w:color="auto" w:fill="auto"/>
            <w:noWrap/>
            <w:vAlign w:val="center"/>
            <w:hideMark/>
          </w:tcPr>
          <w:p w14:paraId="3195BD7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11%</w:t>
            </w:r>
          </w:p>
        </w:tc>
        <w:tc>
          <w:tcPr>
            <w:tcW w:w="0" w:type="auto"/>
            <w:tcBorders>
              <w:top w:val="nil"/>
              <w:left w:val="nil"/>
              <w:bottom w:val="nil"/>
              <w:right w:val="nil"/>
            </w:tcBorders>
            <w:shd w:val="clear" w:color="auto" w:fill="auto"/>
            <w:noWrap/>
            <w:vAlign w:val="center"/>
            <w:hideMark/>
          </w:tcPr>
          <w:p w14:paraId="5891CF1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c>
          <w:tcPr>
            <w:tcW w:w="0" w:type="auto"/>
            <w:tcBorders>
              <w:top w:val="nil"/>
              <w:left w:val="nil"/>
              <w:bottom w:val="nil"/>
              <w:right w:val="nil"/>
            </w:tcBorders>
            <w:shd w:val="clear" w:color="auto" w:fill="auto"/>
            <w:noWrap/>
            <w:vAlign w:val="center"/>
            <w:hideMark/>
          </w:tcPr>
          <w:p w14:paraId="6CC2E89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0C62DCE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r>
      <w:tr w:rsidR="005562B3" w:rsidRPr="00E25190" w14:paraId="5D1D8CB5"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37FE74B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南充</w:t>
            </w:r>
          </w:p>
        </w:tc>
        <w:tc>
          <w:tcPr>
            <w:tcW w:w="0" w:type="auto"/>
            <w:tcBorders>
              <w:top w:val="nil"/>
              <w:left w:val="nil"/>
              <w:bottom w:val="nil"/>
              <w:right w:val="nil"/>
            </w:tcBorders>
            <w:shd w:val="clear" w:color="auto" w:fill="auto"/>
            <w:noWrap/>
            <w:vAlign w:val="center"/>
            <w:hideMark/>
          </w:tcPr>
          <w:p w14:paraId="37D15E9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762677D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3CD104D2"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32%</w:t>
            </w:r>
          </w:p>
        </w:tc>
        <w:tc>
          <w:tcPr>
            <w:tcW w:w="0" w:type="auto"/>
            <w:tcBorders>
              <w:top w:val="nil"/>
              <w:left w:val="nil"/>
              <w:bottom w:val="nil"/>
              <w:right w:val="nil"/>
            </w:tcBorders>
            <w:shd w:val="clear" w:color="auto" w:fill="auto"/>
            <w:noWrap/>
            <w:vAlign w:val="center"/>
            <w:hideMark/>
          </w:tcPr>
          <w:p w14:paraId="39B2B44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22%</w:t>
            </w:r>
          </w:p>
        </w:tc>
        <w:tc>
          <w:tcPr>
            <w:tcW w:w="0" w:type="auto"/>
            <w:tcBorders>
              <w:top w:val="nil"/>
              <w:left w:val="nil"/>
              <w:bottom w:val="nil"/>
              <w:right w:val="nil"/>
            </w:tcBorders>
            <w:shd w:val="clear" w:color="auto" w:fill="auto"/>
            <w:noWrap/>
            <w:vAlign w:val="center"/>
            <w:hideMark/>
          </w:tcPr>
          <w:p w14:paraId="17BB907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27%</w:t>
            </w:r>
          </w:p>
        </w:tc>
        <w:tc>
          <w:tcPr>
            <w:tcW w:w="0" w:type="auto"/>
            <w:tcBorders>
              <w:top w:val="nil"/>
              <w:left w:val="nil"/>
              <w:bottom w:val="nil"/>
              <w:right w:val="nil"/>
            </w:tcBorders>
            <w:shd w:val="clear" w:color="auto" w:fill="auto"/>
            <w:noWrap/>
            <w:vAlign w:val="center"/>
            <w:hideMark/>
          </w:tcPr>
          <w:p w14:paraId="11A107C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69B551F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6C171CD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0%</w:t>
            </w:r>
          </w:p>
        </w:tc>
        <w:tc>
          <w:tcPr>
            <w:tcW w:w="0" w:type="auto"/>
            <w:tcBorders>
              <w:top w:val="nil"/>
              <w:left w:val="nil"/>
              <w:bottom w:val="nil"/>
              <w:right w:val="nil"/>
            </w:tcBorders>
            <w:shd w:val="clear" w:color="auto" w:fill="auto"/>
            <w:noWrap/>
            <w:vAlign w:val="center"/>
            <w:hideMark/>
          </w:tcPr>
          <w:p w14:paraId="4DB969D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0%</w:t>
            </w:r>
          </w:p>
        </w:tc>
      </w:tr>
      <w:tr w:rsidR="005562B3" w:rsidRPr="00E25190" w14:paraId="5295E441"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51ABD96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嵊州</w:t>
            </w:r>
          </w:p>
        </w:tc>
        <w:tc>
          <w:tcPr>
            <w:tcW w:w="0" w:type="auto"/>
            <w:tcBorders>
              <w:top w:val="nil"/>
              <w:left w:val="nil"/>
              <w:bottom w:val="nil"/>
              <w:right w:val="nil"/>
            </w:tcBorders>
            <w:shd w:val="clear" w:color="auto" w:fill="auto"/>
            <w:noWrap/>
            <w:vAlign w:val="center"/>
            <w:hideMark/>
          </w:tcPr>
          <w:p w14:paraId="48C0934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11%</w:t>
            </w:r>
          </w:p>
        </w:tc>
        <w:tc>
          <w:tcPr>
            <w:tcW w:w="0" w:type="auto"/>
            <w:tcBorders>
              <w:top w:val="nil"/>
              <w:left w:val="nil"/>
              <w:bottom w:val="nil"/>
              <w:right w:val="nil"/>
            </w:tcBorders>
            <w:shd w:val="clear" w:color="auto" w:fill="auto"/>
            <w:noWrap/>
            <w:vAlign w:val="center"/>
            <w:hideMark/>
          </w:tcPr>
          <w:p w14:paraId="1EDF91A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01E321EA"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18%</w:t>
            </w:r>
          </w:p>
        </w:tc>
        <w:tc>
          <w:tcPr>
            <w:tcW w:w="0" w:type="auto"/>
            <w:tcBorders>
              <w:top w:val="nil"/>
              <w:left w:val="nil"/>
              <w:bottom w:val="nil"/>
              <w:right w:val="nil"/>
            </w:tcBorders>
            <w:shd w:val="clear" w:color="auto" w:fill="auto"/>
            <w:noWrap/>
            <w:vAlign w:val="center"/>
            <w:hideMark/>
          </w:tcPr>
          <w:p w14:paraId="0198BF9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c>
          <w:tcPr>
            <w:tcW w:w="0" w:type="auto"/>
            <w:tcBorders>
              <w:top w:val="nil"/>
              <w:left w:val="nil"/>
              <w:bottom w:val="nil"/>
              <w:right w:val="nil"/>
            </w:tcBorders>
            <w:shd w:val="clear" w:color="auto" w:fill="auto"/>
            <w:noWrap/>
            <w:vAlign w:val="center"/>
            <w:hideMark/>
          </w:tcPr>
          <w:p w14:paraId="5BFBA6F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18%</w:t>
            </w:r>
          </w:p>
        </w:tc>
        <w:tc>
          <w:tcPr>
            <w:tcW w:w="0" w:type="auto"/>
            <w:tcBorders>
              <w:top w:val="nil"/>
              <w:left w:val="nil"/>
              <w:bottom w:val="nil"/>
              <w:right w:val="nil"/>
            </w:tcBorders>
            <w:shd w:val="clear" w:color="auto" w:fill="auto"/>
            <w:noWrap/>
            <w:vAlign w:val="center"/>
            <w:hideMark/>
          </w:tcPr>
          <w:p w14:paraId="6040C2F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2F844CC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c>
          <w:tcPr>
            <w:tcW w:w="0" w:type="auto"/>
            <w:tcBorders>
              <w:top w:val="nil"/>
              <w:left w:val="nil"/>
              <w:bottom w:val="nil"/>
              <w:right w:val="nil"/>
            </w:tcBorders>
            <w:shd w:val="clear" w:color="auto" w:fill="auto"/>
            <w:noWrap/>
            <w:vAlign w:val="center"/>
            <w:hideMark/>
          </w:tcPr>
          <w:p w14:paraId="0182605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10%</w:t>
            </w:r>
          </w:p>
        </w:tc>
        <w:tc>
          <w:tcPr>
            <w:tcW w:w="0" w:type="auto"/>
            <w:tcBorders>
              <w:top w:val="nil"/>
              <w:left w:val="nil"/>
              <w:bottom w:val="nil"/>
              <w:right w:val="nil"/>
            </w:tcBorders>
            <w:shd w:val="clear" w:color="auto" w:fill="auto"/>
            <w:noWrap/>
            <w:vAlign w:val="center"/>
            <w:hideMark/>
          </w:tcPr>
          <w:p w14:paraId="01B6884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10%</w:t>
            </w:r>
          </w:p>
        </w:tc>
      </w:tr>
      <w:tr w:rsidR="005562B3" w:rsidRPr="00E25190" w14:paraId="2C439BAE"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5B62714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威海</w:t>
            </w:r>
          </w:p>
        </w:tc>
        <w:tc>
          <w:tcPr>
            <w:tcW w:w="0" w:type="auto"/>
            <w:tcBorders>
              <w:top w:val="nil"/>
              <w:left w:val="nil"/>
              <w:bottom w:val="nil"/>
              <w:right w:val="nil"/>
            </w:tcBorders>
            <w:shd w:val="clear" w:color="auto" w:fill="auto"/>
            <w:noWrap/>
            <w:vAlign w:val="center"/>
            <w:hideMark/>
          </w:tcPr>
          <w:p w14:paraId="6A9FC1D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15%</w:t>
            </w:r>
          </w:p>
        </w:tc>
        <w:tc>
          <w:tcPr>
            <w:tcW w:w="0" w:type="auto"/>
            <w:tcBorders>
              <w:top w:val="nil"/>
              <w:left w:val="nil"/>
              <w:bottom w:val="nil"/>
              <w:right w:val="nil"/>
            </w:tcBorders>
            <w:shd w:val="clear" w:color="auto" w:fill="auto"/>
            <w:noWrap/>
            <w:vAlign w:val="center"/>
            <w:hideMark/>
          </w:tcPr>
          <w:p w14:paraId="0DDB951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13%</w:t>
            </w:r>
          </w:p>
        </w:tc>
        <w:tc>
          <w:tcPr>
            <w:tcW w:w="0" w:type="auto"/>
            <w:tcBorders>
              <w:top w:val="nil"/>
              <w:left w:val="nil"/>
              <w:bottom w:val="nil"/>
              <w:right w:val="nil"/>
            </w:tcBorders>
            <w:shd w:val="clear" w:color="auto" w:fill="auto"/>
            <w:noWrap/>
            <w:vAlign w:val="center"/>
            <w:hideMark/>
          </w:tcPr>
          <w:p w14:paraId="3BF47518"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19%</w:t>
            </w:r>
          </w:p>
        </w:tc>
        <w:tc>
          <w:tcPr>
            <w:tcW w:w="0" w:type="auto"/>
            <w:tcBorders>
              <w:top w:val="nil"/>
              <w:left w:val="nil"/>
              <w:bottom w:val="nil"/>
              <w:right w:val="nil"/>
            </w:tcBorders>
            <w:shd w:val="clear" w:color="auto" w:fill="auto"/>
            <w:noWrap/>
            <w:vAlign w:val="center"/>
            <w:hideMark/>
          </w:tcPr>
          <w:p w14:paraId="2C3CE15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369E060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675AD7B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12%</w:t>
            </w:r>
          </w:p>
        </w:tc>
        <w:tc>
          <w:tcPr>
            <w:tcW w:w="0" w:type="auto"/>
            <w:tcBorders>
              <w:top w:val="nil"/>
              <w:left w:val="nil"/>
              <w:bottom w:val="nil"/>
              <w:right w:val="nil"/>
            </w:tcBorders>
            <w:shd w:val="clear" w:color="auto" w:fill="auto"/>
            <w:noWrap/>
            <w:vAlign w:val="center"/>
            <w:hideMark/>
          </w:tcPr>
          <w:p w14:paraId="2312941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c>
          <w:tcPr>
            <w:tcW w:w="0" w:type="auto"/>
            <w:tcBorders>
              <w:top w:val="nil"/>
              <w:left w:val="nil"/>
              <w:bottom w:val="nil"/>
              <w:right w:val="nil"/>
            </w:tcBorders>
            <w:shd w:val="clear" w:color="auto" w:fill="auto"/>
            <w:noWrap/>
            <w:vAlign w:val="center"/>
            <w:hideMark/>
          </w:tcPr>
          <w:p w14:paraId="1AC940C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35C6F22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r>
      <w:tr w:rsidR="005562B3" w:rsidRPr="00E25190" w14:paraId="4424CC8C"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38B824D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嘉善</w:t>
            </w:r>
          </w:p>
        </w:tc>
        <w:tc>
          <w:tcPr>
            <w:tcW w:w="0" w:type="auto"/>
            <w:tcBorders>
              <w:top w:val="nil"/>
              <w:left w:val="nil"/>
              <w:bottom w:val="nil"/>
              <w:right w:val="nil"/>
            </w:tcBorders>
            <w:shd w:val="clear" w:color="auto" w:fill="auto"/>
            <w:noWrap/>
            <w:vAlign w:val="center"/>
            <w:hideMark/>
          </w:tcPr>
          <w:p w14:paraId="0B69787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684011F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18%</w:t>
            </w:r>
          </w:p>
        </w:tc>
        <w:tc>
          <w:tcPr>
            <w:tcW w:w="0" w:type="auto"/>
            <w:tcBorders>
              <w:top w:val="nil"/>
              <w:left w:val="nil"/>
              <w:bottom w:val="nil"/>
              <w:right w:val="nil"/>
            </w:tcBorders>
            <w:shd w:val="clear" w:color="auto" w:fill="auto"/>
            <w:noWrap/>
            <w:vAlign w:val="center"/>
            <w:hideMark/>
          </w:tcPr>
          <w:p w14:paraId="7CFE70FE"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32%</w:t>
            </w:r>
          </w:p>
        </w:tc>
        <w:tc>
          <w:tcPr>
            <w:tcW w:w="0" w:type="auto"/>
            <w:tcBorders>
              <w:top w:val="nil"/>
              <w:left w:val="nil"/>
              <w:bottom w:val="nil"/>
              <w:right w:val="nil"/>
            </w:tcBorders>
            <w:shd w:val="clear" w:color="auto" w:fill="auto"/>
            <w:noWrap/>
            <w:vAlign w:val="center"/>
            <w:hideMark/>
          </w:tcPr>
          <w:p w14:paraId="4841C3E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c>
          <w:tcPr>
            <w:tcW w:w="0" w:type="auto"/>
            <w:tcBorders>
              <w:top w:val="nil"/>
              <w:left w:val="nil"/>
              <w:bottom w:val="nil"/>
              <w:right w:val="nil"/>
            </w:tcBorders>
            <w:shd w:val="clear" w:color="auto" w:fill="auto"/>
            <w:noWrap/>
            <w:vAlign w:val="center"/>
            <w:hideMark/>
          </w:tcPr>
          <w:p w14:paraId="1E06141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6A3EA58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11%</w:t>
            </w:r>
          </w:p>
        </w:tc>
        <w:tc>
          <w:tcPr>
            <w:tcW w:w="0" w:type="auto"/>
            <w:tcBorders>
              <w:top w:val="nil"/>
              <w:left w:val="nil"/>
              <w:bottom w:val="nil"/>
              <w:right w:val="nil"/>
            </w:tcBorders>
            <w:shd w:val="clear" w:color="auto" w:fill="auto"/>
            <w:noWrap/>
            <w:vAlign w:val="center"/>
            <w:hideMark/>
          </w:tcPr>
          <w:p w14:paraId="0060213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02E68B7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61819B0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5%</w:t>
            </w:r>
          </w:p>
        </w:tc>
      </w:tr>
      <w:tr w:rsidR="005562B3" w:rsidRPr="00E25190" w14:paraId="66E7DD3A"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52C7E42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资阳</w:t>
            </w:r>
          </w:p>
        </w:tc>
        <w:tc>
          <w:tcPr>
            <w:tcW w:w="0" w:type="auto"/>
            <w:tcBorders>
              <w:top w:val="nil"/>
              <w:left w:val="nil"/>
              <w:bottom w:val="nil"/>
              <w:right w:val="nil"/>
            </w:tcBorders>
            <w:shd w:val="clear" w:color="auto" w:fill="auto"/>
            <w:noWrap/>
            <w:vAlign w:val="center"/>
            <w:hideMark/>
          </w:tcPr>
          <w:p w14:paraId="5989CA4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16229CA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48E1753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11%</w:t>
            </w:r>
          </w:p>
        </w:tc>
        <w:tc>
          <w:tcPr>
            <w:tcW w:w="0" w:type="auto"/>
            <w:tcBorders>
              <w:top w:val="nil"/>
              <w:left w:val="nil"/>
              <w:bottom w:val="nil"/>
              <w:right w:val="nil"/>
            </w:tcBorders>
            <w:shd w:val="clear" w:color="auto" w:fill="auto"/>
            <w:noWrap/>
            <w:vAlign w:val="center"/>
            <w:hideMark/>
          </w:tcPr>
          <w:p w14:paraId="0C5B5737"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30%</w:t>
            </w:r>
          </w:p>
        </w:tc>
        <w:tc>
          <w:tcPr>
            <w:tcW w:w="0" w:type="auto"/>
            <w:tcBorders>
              <w:top w:val="nil"/>
              <w:left w:val="nil"/>
              <w:bottom w:val="nil"/>
              <w:right w:val="nil"/>
            </w:tcBorders>
            <w:shd w:val="clear" w:color="auto" w:fill="auto"/>
            <w:noWrap/>
            <w:vAlign w:val="center"/>
            <w:hideMark/>
          </w:tcPr>
          <w:p w14:paraId="272D995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28%</w:t>
            </w:r>
          </w:p>
        </w:tc>
        <w:tc>
          <w:tcPr>
            <w:tcW w:w="0" w:type="auto"/>
            <w:tcBorders>
              <w:top w:val="nil"/>
              <w:left w:val="nil"/>
              <w:bottom w:val="nil"/>
              <w:right w:val="nil"/>
            </w:tcBorders>
            <w:shd w:val="clear" w:color="auto" w:fill="auto"/>
            <w:noWrap/>
            <w:vAlign w:val="center"/>
            <w:hideMark/>
          </w:tcPr>
          <w:p w14:paraId="1B609FE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20%</w:t>
            </w:r>
          </w:p>
        </w:tc>
        <w:tc>
          <w:tcPr>
            <w:tcW w:w="0" w:type="auto"/>
            <w:tcBorders>
              <w:top w:val="nil"/>
              <w:left w:val="nil"/>
              <w:bottom w:val="nil"/>
              <w:right w:val="nil"/>
            </w:tcBorders>
            <w:shd w:val="clear" w:color="auto" w:fill="auto"/>
            <w:noWrap/>
            <w:vAlign w:val="center"/>
            <w:hideMark/>
          </w:tcPr>
          <w:p w14:paraId="64E45AE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5%</w:t>
            </w:r>
          </w:p>
        </w:tc>
        <w:tc>
          <w:tcPr>
            <w:tcW w:w="0" w:type="auto"/>
            <w:tcBorders>
              <w:top w:val="nil"/>
              <w:left w:val="nil"/>
              <w:bottom w:val="nil"/>
              <w:right w:val="nil"/>
            </w:tcBorders>
            <w:shd w:val="clear" w:color="auto" w:fill="auto"/>
            <w:noWrap/>
            <w:vAlign w:val="center"/>
            <w:hideMark/>
          </w:tcPr>
          <w:p w14:paraId="278144C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2537C0B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r>
      <w:tr w:rsidR="005562B3" w:rsidRPr="00E25190" w14:paraId="578BFC3B"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681EEA3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珠海</w:t>
            </w:r>
          </w:p>
        </w:tc>
        <w:tc>
          <w:tcPr>
            <w:tcW w:w="0" w:type="auto"/>
            <w:tcBorders>
              <w:top w:val="nil"/>
              <w:left w:val="nil"/>
              <w:bottom w:val="nil"/>
              <w:right w:val="nil"/>
            </w:tcBorders>
            <w:shd w:val="clear" w:color="auto" w:fill="auto"/>
            <w:noWrap/>
            <w:vAlign w:val="center"/>
            <w:hideMark/>
          </w:tcPr>
          <w:p w14:paraId="050CFCC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13%</w:t>
            </w:r>
          </w:p>
        </w:tc>
        <w:tc>
          <w:tcPr>
            <w:tcW w:w="0" w:type="auto"/>
            <w:tcBorders>
              <w:top w:val="nil"/>
              <w:left w:val="nil"/>
              <w:bottom w:val="nil"/>
              <w:right w:val="nil"/>
            </w:tcBorders>
            <w:shd w:val="clear" w:color="auto" w:fill="auto"/>
            <w:noWrap/>
            <w:vAlign w:val="center"/>
            <w:hideMark/>
          </w:tcPr>
          <w:p w14:paraId="5E4A373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6035C39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16%</w:t>
            </w:r>
          </w:p>
        </w:tc>
        <w:tc>
          <w:tcPr>
            <w:tcW w:w="0" w:type="auto"/>
            <w:tcBorders>
              <w:top w:val="nil"/>
              <w:left w:val="nil"/>
              <w:bottom w:val="nil"/>
              <w:right w:val="nil"/>
            </w:tcBorders>
            <w:shd w:val="clear" w:color="auto" w:fill="auto"/>
            <w:noWrap/>
            <w:vAlign w:val="center"/>
            <w:hideMark/>
          </w:tcPr>
          <w:p w14:paraId="099CC2E3"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19%</w:t>
            </w:r>
          </w:p>
        </w:tc>
        <w:tc>
          <w:tcPr>
            <w:tcW w:w="0" w:type="auto"/>
            <w:tcBorders>
              <w:top w:val="nil"/>
              <w:left w:val="nil"/>
              <w:bottom w:val="nil"/>
              <w:right w:val="nil"/>
            </w:tcBorders>
            <w:shd w:val="clear" w:color="auto" w:fill="auto"/>
            <w:noWrap/>
            <w:vAlign w:val="center"/>
            <w:hideMark/>
          </w:tcPr>
          <w:p w14:paraId="5DED21D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19%</w:t>
            </w:r>
          </w:p>
        </w:tc>
        <w:tc>
          <w:tcPr>
            <w:tcW w:w="0" w:type="auto"/>
            <w:tcBorders>
              <w:top w:val="nil"/>
              <w:left w:val="nil"/>
              <w:bottom w:val="nil"/>
              <w:right w:val="nil"/>
            </w:tcBorders>
            <w:shd w:val="clear" w:color="auto" w:fill="auto"/>
            <w:noWrap/>
            <w:vAlign w:val="center"/>
            <w:hideMark/>
          </w:tcPr>
          <w:p w14:paraId="6D37B80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10%</w:t>
            </w:r>
          </w:p>
        </w:tc>
        <w:tc>
          <w:tcPr>
            <w:tcW w:w="0" w:type="auto"/>
            <w:tcBorders>
              <w:top w:val="nil"/>
              <w:left w:val="nil"/>
              <w:bottom w:val="nil"/>
              <w:right w:val="nil"/>
            </w:tcBorders>
            <w:shd w:val="clear" w:color="auto" w:fill="auto"/>
            <w:noWrap/>
            <w:vAlign w:val="center"/>
            <w:hideMark/>
          </w:tcPr>
          <w:p w14:paraId="0D9BC19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5%</w:t>
            </w:r>
          </w:p>
        </w:tc>
        <w:tc>
          <w:tcPr>
            <w:tcW w:w="0" w:type="auto"/>
            <w:tcBorders>
              <w:top w:val="nil"/>
              <w:left w:val="nil"/>
              <w:bottom w:val="nil"/>
              <w:right w:val="nil"/>
            </w:tcBorders>
            <w:shd w:val="clear" w:color="auto" w:fill="auto"/>
            <w:noWrap/>
            <w:vAlign w:val="center"/>
            <w:hideMark/>
          </w:tcPr>
          <w:p w14:paraId="2B5F21B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7B9D2B1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r>
      <w:tr w:rsidR="005562B3" w:rsidRPr="00E25190" w14:paraId="452840B6"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305857A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衢州</w:t>
            </w:r>
          </w:p>
        </w:tc>
        <w:tc>
          <w:tcPr>
            <w:tcW w:w="0" w:type="auto"/>
            <w:tcBorders>
              <w:top w:val="nil"/>
              <w:left w:val="nil"/>
              <w:bottom w:val="nil"/>
              <w:right w:val="nil"/>
            </w:tcBorders>
            <w:shd w:val="clear" w:color="auto" w:fill="auto"/>
            <w:noWrap/>
            <w:vAlign w:val="center"/>
            <w:hideMark/>
          </w:tcPr>
          <w:p w14:paraId="48274A9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2664F05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0965655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20%</w:t>
            </w:r>
          </w:p>
        </w:tc>
        <w:tc>
          <w:tcPr>
            <w:tcW w:w="0" w:type="auto"/>
            <w:tcBorders>
              <w:top w:val="nil"/>
              <w:left w:val="nil"/>
              <w:bottom w:val="nil"/>
              <w:right w:val="nil"/>
            </w:tcBorders>
            <w:shd w:val="clear" w:color="auto" w:fill="auto"/>
            <w:noWrap/>
            <w:vAlign w:val="center"/>
            <w:hideMark/>
          </w:tcPr>
          <w:p w14:paraId="11EDA0BC"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21%</w:t>
            </w:r>
          </w:p>
        </w:tc>
        <w:tc>
          <w:tcPr>
            <w:tcW w:w="0" w:type="auto"/>
            <w:tcBorders>
              <w:top w:val="nil"/>
              <w:left w:val="nil"/>
              <w:bottom w:val="nil"/>
              <w:right w:val="nil"/>
            </w:tcBorders>
            <w:shd w:val="clear" w:color="auto" w:fill="auto"/>
            <w:noWrap/>
            <w:vAlign w:val="center"/>
            <w:hideMark/>
          </w:tcPr>
          <w:p w14:paraId="643C15E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18%</w:t>
            </w:r>
          </w:p>
        </w:tc>
        <w:tc>
          <w:tcPr>
            <w:tcW w:w="0" w:type="auto"/>
            <w:tcBorders>
              <w:top w:val="nil"/>
              <w:left w:val="nil"/>
              <w:bottom w:val="nil"/>
              <w:right w:val="nil"/>
            </w:tcBorders>
            <w:shd w:val="clear" w:color="auto" w:fill="auto"/>
            <w:noWrap/>
            <w:vAlign w:val="center"/>
            <w:hideMark/>
          </w:tcPr>
          <w:p w14:paraId="70201A7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17%</w:t>
            </w:r>
          </w:p>
        </w:tc>
        <w:tc>
          <w:tcPr>
            <w:tcW w:w="0" w:type="auto"/>
            <w:tcBorders>
              <w:top w:val="nil"/>
              <w:left w:val="nil"/>
              <w:bottom w:val="nil"/>
              <w:right w:val="nil"/>
            </w:tcBorders>
            <w:shd w:val="clear" w:color="auto" w:fill="auto"/>
            <w:noWrap/>
            <w:vAlign w:val="center"/>
            <w:hideMark/>
          </w:tcPr>
          <w:p w14:paraId="1AA3931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c>
          <w:tcPr>
            <w:tcW w:w="0" w:type="auto"/>
            <w:tcBorders>
              <w:top w:val="nil"/>
              <w:left w:val="nil"/>
              <w:bottom w:val="nil"/>
              <w:right w:val="nil"/>
            </w:tcBorders>
            <w:shd w:val="clear" w:color="auto" w:fill="auto"/>
            <w:noWrap/>
            <w:vAlign w:val="center"/>
            <w:hideMark/>
          </w:tcPr>
          <w:p w14:paraId="104E564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2850F73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r>
      <w:tr w:rsidR="005562B3" w:rsidRPr="00E25190" w14:paraId="570D1854"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3447502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淮南</w:t>
            </w:r>
          </w:p>
        </w:tc>
        <w:tc>
          <w:tcPr>
            <w:tcW w:w="0" w:type="auto"/>
            <w:tcBorders>
              <w:top w:val="nil"/>
              <w:left w:val="nil"/>
              <w:bottom w:val="nil"/>
              <w:right w:val="nil"/>
            </w:tcBorders>
            <w:shd w:val="clear" w:color="auto" w:fill="auto"/>
            <w:noWrap/>
            <w:vAlign w:val="center"/>
            <w:hideMark/>
          </w:tcPr>
          <w:p w14:paraId="2EDA86F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10787E4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7992689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00C3B5D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13%</w:t>
            </w:r>
          </w:p>
        </w:tc>
        <w:tc>
          <w:tcPr>
            <w:tcW w:w="0" w:type="auto"/>
            <w:tcBorders>
              <w:top w:val="nil"/>
              <w:left w:val="nil"/>
              <w:bottom w:val="nil"/>
              <w:right w:val="nil"/>
            </w:tcBorders>
            <w:shd w:val="clear" w:color="auto" w:fill="auto"/>
            <w:noWrap/>
            <w:vAlign w:val="center"/>
            <w:hideMark/>
          </w:tcPr>
          <w:p w14:paraId="6F24918F"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40%</w:t>
            </w:r>
          </w:p>
        </w:tc>
        <w:tc>
          <w:tcPr>
            <w:tcW w:w="0" w:type="auto"/>
            <w:tcBorders>
              <w:top w:val="nil"/>
              <w:left w:val="nil"/>
              <w:bottom w:val="nil"/>
              <w:right w:val="nil"/>
            </w:tcBorders>
            <w:shd w:val="clear" w:color="auto" w:fill="auto"/>
            <w:noWrap/>
            <w:vAlign w:val="center"/>
            <w:hideMark/>
          </w:tcPr>
          <w:p w14:paraId="68F1169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23%</w:t>
            </w:r>
          </w:p>
        </w:tc>
        <w:tc>
          <w:tcPr>
            <w:tcW w:w="0" w:type="auto"/>
            <w:tcBorders>
              <w:top w:val="nil"/>
              <w:left w:val="nil"/>
              <w:bottom w:val="nil"/>
              <w:right w:val="nil"/>
            </w:tcBorders>
            <w:shd w:val="clear" w:color="auto" w:fill="auto"/>
            <w:noWrap/>
            <w:vAlign w:val="center"/>
            <w:hideMark/>
          </w:tcPr>
          <w:p w14:paraId="03FC2C4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7C3B1A3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026AD22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r>
      <w:tr w:rsidR="005562B3" w:rsidRPr="00E25190" w14:paraId="5204C79C"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2C6B3984"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苏州</w:t>
            </w:r>
          </w:p>
        </w:tc>
        <w:tc>
          <w:tcPr>
            <w:tcW w:w="0" w:type="auto"/>
            <w:tcBorders>
              <w:top w:val="nil"/>
              <w:left w:val="nil"/>
              <w:bottom w:val="nil"/>
              <w:right w:val="nil"/>
            </w:tcBorders>
            <w:shd w:val="clear" w:color="auto" w:fill="auto"/>
            <w:noWrap/>
            <w:vAlign w:val="center"/>
            <w:hideMark/>
          </w:tcPr>
          <w:p w14:paraId="288A561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5E169C9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2481D83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2451B3B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11%</w:t>
            </w:r>
          </w:p>
        </w:tc>
        <w:tc>
          <w:tcPr>
            <w:tcW w:w="0" w:type="auto"/>
            <w:tcBorders>
              <w:top w:val="nil"/>
              <w:left w:val="nil"/>
              <w:bottom w:val="nil"/>
              <w:right w:val="nil"/>
            </w:tcBorders>
            <w:shd w:val="clear" w:color="auto" w:fill="auto"/>
            <w:noWrap/>
            <w:vAlign w:val="center"/>
            <w:hideMark/>
          </w:tcPr>
          <w:p w14:paraId="6D69451B"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32%</w:t>
            </w:r>
          </w:p>
        </w:tc>
        <w:tc>
          <w:tcPr>
            <w:tcW w:w="0" w:type="auto"/>
            <w:tcBorders>
              <w:top w:val="nil"/>
              <w:left w:val="nil"/>
              <w:bottom w:val="nil"/>
              <w:right w:val="nil"/>
            </w:tcBorders>
            <w:shd w:val="clear" w:color="auto" w:fill="auto"/>
            <w:noWrap/>
            <w:vAlign w:val="center"/>
            <w:hideMark/>
          </w:tcPr>
          <w:p w14:paraId="7A8D08C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25%</w:t>
            </w:r>
          </w:p>
        </w:tc>
        <w:tc>
          <w:tcPr>
            <w:tcW w:w="0" w:type="auto"/>
            <w:tcBorders>
              <w:top w:val="nil"/>
              <w:left w:val="nil"/>
              <w:bottom w:val="nil"/>
              <w:right w:val="nil"/>
            </w:tcBorders>
            <w:shd w:val="clear" w:color="auto" w:fill="auto"/>
            <w:noWrap/>
            <w:vAlign w:val="center"/>
            <w:hideMark/>
          </w:tcPr>
          <w:p w14:paraId="0F96B0C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13%</w:t>
            </w:r>
          </w:p>
        </w:tc>
        <w:tc>
          <w:tcPr>
            <w:tcW w:w="0" w:type="auto"/>
            <w:tcBorders>
              <w:top w:val="nil"/>
              <w:left w:val="nil"/>
              <w:bottom w:val="nil"/>
              <w:right w:val="nil"/>
            </w:tcBorders>
            <w:shd w:val="clear" w:color="auto" w:fill="auto"/>
            <w:noWrap/>
            <w:vAlign w:val="center"/>
            <w:hideMark/>
          </w:tcPr>
          <w:p w14:paraId="2307BCB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7ADED7A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r>
      <w:tr w:rsidR="005562B3" w:rsidRPr="00E25190" w14:paraId="5F365062"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1C6A9BB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德阳</w:t>
            </w:r>
          </w:p>
        </w:tc>
        <w:tc>
          <w:tcPr>
            <w:tcW w:w="0" w:type="auto"/>
            <w:tcBorders>
              <w:top w:val="nil"/>
              <w:left w:val="nil"/>
              <w:bottom w:val="nil"/>
              <w:right w:val="nil"/>
            </w:tcBorders>
            <w:shd w:val="clear" w:color="auto" w:fill="auto"/>
            <w:noWrap/>
            <w:vAlign w:val="center"/>
            <w:hideMark/>
          </w:tcPr>
          <w:p w14:paraId="40E39DF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7730875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1BC5EB2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c>
          <w:tcPr>
            <w:tcW w:w="0" w:type="auto"/>
            <w:tcBorders>
              <w:top w:val="nil"/>
              <w:left w:val="nil"/>
              <w:bottom w:val="nil"/>
              <w:right w:val="nil"/>
            </w:tcBorders>
            <w:shd w:val="clear" w:color="auto" w:fill="auto"/>
            <w:noWrap/>
            <w:vAlign w:val="center"/>
            <w:hideMark/>
          </w:tcPr>
          <w:p w14:paraId="12DC08D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12%</w:t>
            </w:r>
          </w:p>
        </w:tc>
        <w:tc>
          <w:tcPr>
            <w:tcW w:w="0" w:type="auto"/>
            <w:tcBorders>
              <w:top w:val="nil"/>
              <w:left w:val="nil"/>
              <w:bottom w:val="nil"/>
              <w:right w:val="nil"/>
            </w:tcBorders>
            <w:shd w:val="clear" w:color="auto" w:fill="auto"/>
            <w:noWrap/>
            <w:vAlign w:val="center"/>
            <w:hideMark/>
          </w:tcPr>
          <w:p w14:paraId="1E4D1F97"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32%</w:t>
            </w:r>
          </w:p>
        </w:tc>
        <w:tc>
          <w:tcPr>
            <w:tcW w:w="0" w:type="auto"/>
            <w:tcBorders>
              <w:top w:val="nil"/>
              <w:left w:val="nil"/>
              <w:bottom w:val="nil"/>
              <w:right w:val="nil"/>
            </w:tcBorders>
            <w:shd w:val="clear" w:color="auto" w:fill="auto"/>
            <w:noWrap/>
            <w:vAlign w:val="center"/>
            <w:hideMark/>
          </w:tcPr>
          <w:p w14:paraId="0FC1AFC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25%</w:t>
            </w:r>
          </w:p>
        </w:tc>
        <w:tc>
          <w:tcPr>
            <w:tcW w:w="0" w:type="auto"/>
            <w:tcBorders>
              <w:top w:val="nil"/>
              <w:left w:val="nil"/>
              <w:bottom w:val="nil"/>
              <w:right w:val="nil"/>
            </w:tcBorders>
            <w:shd w:val="clear" w:color="auto" w:fill="auto"/>
            <w:noWrap/>
            <w:vAlign w:val="center"/>
            <w:hideMark/>
          </w:tcPr>
          <w:p w14:paraId="14807F6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20A3F7F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nil"/>
              <w:right w:val="nil"/>
            </w:tcBorders>
            <w:shd w:val="clear" w:color="auto" w:fill="auto"/>
            <w:noWrap/>
            <w:vAlign w:val="center"/>
            <w:hideMark/>
          </w:tcPr>
          <w:p w14:paraId="4D6CBA5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r>
      <w:tr w:rsidR="005562B3" w:rsidRPr="00E25190" w14:paraId="70D5CBE2"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41B6AE3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无锡</w:t>
            </w:r>
          </w:p>
        </w:tc>
        <w:tc>
          <w:tcPr>
            <w:tcW w:w="0" w:type="auto"/>
            <w:tcBorders>
              <w:top w:val="nil"/>
              <w:left w:val="nil"/>
              <w:bottom w:val="nil"/>
              <w:right w:val="nil"/>
            </w:tcBorders>
            <w:shd w:val="clear" w:color="auto" w:fill="auto"/>
            <w:noWrap/>
            <w:vAlign w:val="center"/>
            <w:hideMark/>
          </w:tcPr>
          <w:p w14:paraId="184591E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3FFB074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1C544AF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11%</w:t>
            </w:r>
          </w:p>
        </w:tc>
        <w:tc>
          <w:tcPr>
            <w:tcW w:w="0" w:type="auto"/>
            <w:tcBorders>
              <w:top w:val="nil"/>
              <w:left w:val="nil"/>
              <w:bottom w:val="nil"/>
              <w:right w:val="nil"/>
            </w:tcBorders>
            <w:shd w:val="clear" w:color="auto" w:fill="auto"/>
            <w:noWrap/>
            <w:vAlign w:val="center"/>
            <w:hideMark/>
          </w:tcPr>
          <w:p w14:paraId="68CD142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1E8B63B4"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31%</w:t>
            </w:r>
          </w:p>
        </w:tc>
        <w:tc>
          <w:tcPr>
            <w:tcW w:w="0" w:type="auto"/>
            <w:tcBorders>
              <w:top w:val="nil"/>
              <w:left w:val="nil"/>
              <w:bottom w:val="nil"/>
              <w:right w:val="nil"/>
            </w:tcBorders>
            <w:shd w:val="clear" w:color="auto" w:fill="auto"/>
            <w:noWrap/>
            <w:vAlign w:val="center"/>
            <w:hideMark/>
          </w:tcPr>
          <w:p w14:paraId="647CBF1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22%</w:t>
            </w:r>
          </w:p>
        </w:tc>
        <w:tc>
          <w:tcPr>
            <w:tcW w:w="0" w:type="auto"/>
            <w:tcBorders>
              <w:top w:val="nil"/>
              <w:left w:val="nil"/>
              <w:bottom w:val="nil"/>
              <w:right w:val="nil"/>
            </w:tcBorders>
            <w:shd w:val="clear" w:color="auto" w:fill="auto"/>
            <w:noWrap/>
            <w:vAlign w:val="center"/>
            <w:hideMark/>
          </w:tcPr>
          <w:p w14:paraId="20BABE6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13%</w:t>
            </w:r>
          </w:p>
        </w:tc>
        <w:tc>
          <w:tcPr>
            <w:tcW w:w="0" w:type="auto"/>
            <w:tcBorders>
              <w:top w:val="nil"/>
              <w:left w:val="nil"/>
              <w:bottom w:val="nil"/>
              <w:right w:val="nil"/>
            </w:tcBorders>
            <w:shd w:val="clear" w:color="auto" w:fill="auto"/>
            <w:noWrap/>
            <w:vAlign w:val="center"/>
            <w:hideMark/>
          </w:tcPr>
          <w:p w14:paraId="3726427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51D1988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r>
      <w:tr w:rsidR="005562B3" w:rsidRPr="00E25190" w14:paraId="509B9BB1"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54FB909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青岛</w:t>
            </w:r>
          </w:p>
        </w:tc>
        <w:tc>
          <w:tcPr>
            <w:tcW w:w="0" w:type="auto"/>
            <w:tcBorders>
              <w:top w:val="nil"/>
              <w:left w:val="nil"/>
              <w:bottom w:val="nil"/>
              <w:right w:val="nil"/>
            </w:tcBorders>
            <w:shd w:val="clear" w:color="auto" w:fill="auto"/>
            <w:noWrap/>
            <w:vAlign w:val="center"/>
            <w:hideMark/>
          </w:tcPr>
          <w:p w14:paraId="51E5E11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23%</w:t>
            </w:r>
          </w:p>
        </w:tc>
        <w:tc>
          <w:tcPr>
            <w:tcW w:w="0" w:type="auto"/>
            <w:tcBorders>
              <w:top w:val="nil"/>
              <w:left w:val="nil"/>
              <w:bottom w:val="nil"/>
              <w:right w:val="nil"/>
            </w:tcBorders>
            <w:shd w:val="clear" w:color="auto" w:fill="auto"/>
            <w:noWrap/>
            <w:vAlign w:val="center"/>
            <w:hideMark/>
          </w:tcPr>
          <w:p w14:paraId="7AF8339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1EDF658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7B4768E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7D91275B"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25%</w:t>
            </w:r>
          </w:p>
        </w:tc>
        <w:tc>
          <w:tcPr>
            <w:tcW w:w="0" w:type="auto"/>
            <w:tcBorders>
              <w:top w:val="nil"/>
              <w:left w:val="nil"/>
              <w:bottom w:val="nil"/>
              <w:right w:val="nil"/>
            </w:tcBorders>
            <w:shd w:val="clear" w:color="auto" w:fill="auto"/>
            <w:noWrap/>
            <w:vAlign w:val="center"/>
            <w:hideMark/>
          </w:tcPr>
          <w:p w14:paraId="449FD76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18%</w:t>
            </w:r>
          </w:p>
        </w:tc>
        <w:tc>
          <w:tcPr>
            <w:tcW w:w="0" w:type="auto"/>
            <w:tcBorders>
              <w:top w:val="nil"/>
              <w:left w:val="nil"/>
              <w:bottom w:val="nil"/>
              <w:right w:val="nil"/>
            </w:tcBorders>
            <w:shd w:val="clear" w:color="auto" w:fill="auto"/>
            <w:noWrap/>
            <w:vAlign w:val="center"/>
            <w:hideMark/>
          </w:tcPr>
          <w:p w14:paraId="4317624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c>
          <w:tcPr>
            <w:tcW w:w="0" w:type="auto"/>
            <w:tcBorders>
              <w:top w:val="nil"/>
              <w:left w:val="nil"/>
              <w:bottom w:val="nil"/>
              <w:right w:val="nil"/>
            </w:tcBorders>
            <w:shd w:val="clear" w:color="auto" w:fill="auto"/>
            <w:noWrap/>
            <w:vAlign w:val="center"/>
            <w:hideMark/>
          </w:tcPr>
          <w:p w14:paraId="73234D0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2C4E3D8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r>
      <w:tr w:rsidR="005562B3" w:rsidRPr="00E25190" w14:paraId="4EC2E1FA"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7CB0B6D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徐州</w:t>
            </w:r>
          </w:p>
        </w:tc>
        <w:tc>
          <w:tcPr>
            <w:tcW w:w="0" w:type="auto"/>
            <w:tcBorders>
              <w:top w:val="nil"/>
              <w:left w:val="nil"/>
              <w:bottom w:val="nil"/>
              <w:right w:val="nil"/>
            </w:tcBorders>
            <w:shd w:val="clear" w:color="auto" w:fill="auto"/>
            <w:noWrap/>
            <w:vAlign w:val="center"/>
            <w:hideMark/>
          </w:tcPr>
          <w:p w14:paraId="2263DC6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6C0C3EF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2CD7EC0F"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7287D7F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9%</w:t>
            </w:r>
          </w:p>
        </w:tc>
        <w:tc>
          <w:tcPr>
            <w:tcW w:w="0" w:type="auto"/>
            <w:tcBorders>
              <w:top w:val="nil"/>
              <w:left w:val="nil"/>
              <w:bottom w:val="nil"/>
              <w:right w:val="nil"/>
            </w:tcBorders>
            <w:shd w:val="clear" w:color="auto" w:fill="auto"/>
            <w:noWrap/>
            <w:vAlign w:val="center"/>
            <w:hideMark/>
          </w:tcPr>
          <w:p w14:paraId="6075C4E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30%</w:t>
            </w:r>
          </w:p>
        </w:tc>
        <w:tc>
          <w:tcPr>
            <w:tcW w:w="0" w:type="auto"/>
            <w:tcBorders>
              <w:top w:val="nil"/>
              <w:left w:val="nil"/>
              <w:bottom w:val="nil"/>
              <w:right w:val="nil"/>
            </w:tcBorders>
            <w:shd w:val="clear" w:color="auto" w:fill="auto"/>
            <w:noWrap/>
            <w:vAlign w:val="center"/>
            <w:hideMark/>
          </w:tcPr>
          <w:p w14:paraId="210F8A0B"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32%</w:t>
            </w:r>
          </w:p>
        </w:tc>
        <w:tc>
          <w:tcPr>
            <w:tcW w:w="0" w:type="auto"/>
            <w:tcBorders>
              <w:top w:val="nil"/>
              <w:left w:val="nil"/>
              <w:bottom w:val="nil"/>
              <w:right w:val="nil"/>
            </w:tcBorders>
            <w:shd w:val="clear" w:color="auto" w:fill="auto"/>
            <w:noWrap/>
            <w:vAlign w:val="center"/>
            <w:hideMark/>
          </w:tcPr>
          <w:p w14:paraId="6C2F7D5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10%</w:t>
            </w:r>
          </w:p>
        </w:tc>
        <w:tc>
          <w:tcPr>
            <w:tcW w:w="0" w:type="auto"/>
            <w:tcBorders>
              <w:top w:val="nil"/>
              <w:left w:val="nil"/>
              <w:bottom w:val="nil"/>
              <w:right w:val="nil"/>
            </w:tcBorders>
            <w:shd w:val="clear" w:color="auto" w:fill="auto"/>
            <w:noWrap/>
            <w:vAlign w:val="center"/>
            <w:hideMark/>
          </w:tcPr>
          <w:p w14:paraId="74E87F6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166C2B3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r>
      <w:tr w:rsidR="005562B3" w:rsidRPr="00E25190" w14:paraId="61636C9A"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25641D7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宝鸡</w:t>
            </w:r>
          </w:p>
        </w:tc>
        <w:tc>
          <w:tcPr>
            <w:tcW w:w="0" w:type="auto"/>
            <w:tcBorders>
              <w:top w:val="nil"/>
              <w:left w:val="nil"/>
              <w:bottom w:val="nil"/>
              <w:right w:val="nil"/>
            </w:tcBorders>
            <w:shd w:val="clear" w:color="auto" w:fill="auto"/>
            <w:noWrap/>
            <w:vAlign w:val="center"/>
            <w:hideMark/>
          </w:tcPr>
          <w:p w14:paraId="0CCB62C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c>
          <w:tcPr>
            <w:tcW w:w="0" w:type="auto"/>
            <w:tcBorders>
              <w:top w:val="nil"/>
              <w:left w:val="nil"/>
              <w:bottom w:val="nil"/>
              <w:right w:val="nil"/>
            </w:tcBorders>
            <w:shd w:val="clear" w:color="auto" w:fill="auto"/>
            <w:noWrap/>
            <w:vAlign w:val="center"/>
            <w:hideMark/>
          </w:tcPr>
          <w:p w14:paraId="7199527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21FEA2B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40B3F79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532EBB9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28%</w:t>
            </w:r>
          </w:p>
        </w:tc>
        <w:tc>
          <w:tcPr>
            <w:tcW w:w="0" w:type="auto"/>
            <w:tcBorders>
              <w:top w:val="nil"/>
              <w:left w:val="nil"/>
              <w:bottom w:val="nil"/>
              <w:right w:val="nil"/>
            </w:tcBorders>
            <w:shd w:val="clear" w:color="auto" w:fill="auto"/>
            <w:noWrap/>
            <w:vAlign w:val="center"/>
            <w:hideMark/>
          </w:tcPr>
          <w:p w14:paraId="42DF783B"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29%</w:t>
            </w:r>
          </w:p>
        </w:tc>
        <w:tc>
          <w:tcPr>
            <w:tcW w:w="0" w:type="auto"/>
            <w:tcBorders>
              <w:top w:val="nil"/>
              <w:left w:val="nil"/>
              <w:bottom w:val="nil"/>
              <w:right w:val="nil"/>
            </w:tcBorders>
            <w:shd w:val="clear" w:color="auto" w:fill="auto"/>
            <w:noWrap/>
            <w:vAlign w:val="center"/>
            <w:hideMark/>
          </w:tcPr>
          <w:p w14:paraId="12144A4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c>
          <w:tcPr>
            <w:tcW w:w="0" w:type="auto"/>
            <w:tcBorders>
              <w:top w:val="nil"/>
              <w:left w:val="nil"/>
              <w:bottom w:val="nil"/>
              <w:right w:val="nil"/>
            </w:tcBorders>
            <w:shd w:val="clear" w:color="auto" w:fill="auto"/>
            <w:noWrap/>
            <w:vAlign w:val="center"/>
            <w:hideMark/>
          </w:tcPr>
          <w:p w14:paraId="2F71326C"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c>
          <w:tcPr>
            <w:tcW w:w="0" w:type="auto"/>
            <w:tcBorders>
              <w:top w:val="nil"/>
              <w:left w:val="nil"/>
              <w:bottom w:val="nil"/>
              <w:right w:val="nil"/>
            </w:tcBorders>
            <w:shd w:val="clear" w:color="auto" w:fill="auto"/>
            <w:noWrap/>
            <w:vAlign w:val="center"/>
            <w:hideMark/>
          </w:tcPr>
          <w:p w14:paraId="24A8236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3%</w:t>
            </w:r>
          </w:p>
        </w:tc>
      </w:tr>
      <w:tr w:rsidR="005562B3" w:rsidRPr="00E25190" w14:paraId="413173BC"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3E4A3AA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濮阳</w:t>
            </w:r>
          </w:p>
        </w:tc>
        <w:tc>
          <w:tcPr>
            <w:tcW w:w="0" w:type="auto"/>
            <w:tcBorders>
              <w:top w:val="nil"/>
              <w:left w:val="nil"/>
              <w:bottom w:val="nil"/>
              <w:right w:val="nil"/>
            </w:tcBorders>
            <w:shd w:val="clear" w:color="auto" w:fill="auto"/>
            <w:noWrap/>
            <w:vAlign w:val="center"/>
            <w:hideMark/>
          </w:tcPr>
          <w:p w14:paraId="40B8989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04C2D21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0%</w:t>
            </w:r>
          </w:p>
        </w:tc>
        <w:tc>
          <w:tcPr>
            <w:tcW w:w="0" w:type="auto"/>
            <w:tcBorders>
              <w:top w:val="nil"/>
              <w:left w:val="nil"/>
              <w:bottom w:val="nil"/>
              <w:right w:val="nil"/>
            </w:tcBorders>
            <w:shd w:val="clear" w:color="auto" w:fill="auto"/>
            <w:noWrap/>
            <w:vAlign w:val="center"/>
            <w:hideMark/>
          </w:tcPr>
          <w:p w14:paraId="4102922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nil"/>
              <w:right w:val="nil"/>
            </w:tcBorders>
            <w:shd w:val="clear" w:color="auto" w:fill="auto"/>
            <w:noWrap/>
            <w:vAlign w:val="center"/>
            <w:hideMark/>
          </w:tcPr>
          <w:p w14:paraId="1AAD94D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10330E0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24%</w:t>
            </w:r>
          </w:p>
        </w:tc>
        <w:tc>
          <w:tcPr>
            <w:tcW w:w="0" w:type="auto"/>
            <w:tcBorders>
              <w:top w:val="nil"/>
              <w:left w:val="nil"/>
              <w:bottom w:val="nil"/>
              <w:right w:val="nil"/>
            </w:tcBorders>
            <w:shd w:val="clear" w:color="auto" w:fill="auto"/>
            <w:noWrap/>
            <w:vAlign w:val="center"/>
            <w:hideMark/>
          </w:tcPr>
          <w:p w14:paraId="11AE4FA1"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42%</w:t>
            </w:r>
          </w:p>
        </w:tc>
        <w:tc>
          <w:tcPr>
            <w:tcW w:w="0" w:type="auto"/>
            <w:tcBorders>
              <w:top w:val="nil"/>
              <w:left w:val="nil"/>
              <w:bottom w:val="nil"/>
              <w:right w:val="nil"/>
            </w:tcBorders>
            <w:shd w:val="clear" w:color="auto" w:fill="auto"/>
            <w:noWrap/>
            <w:vAlign w:val="center"/>
            <w:hideMark/>
          </w:tcPr>
          <w:p w14:paraId="67319D97"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14%</w:t>
            </w:r>
          </w:p>
        </w:tc>
        <w:tc>
          <w:tcPr>
            <w:tcW w:w="0" w:type="auto"/>
            <w:tcBorders>
              <w:top w:val="nil"/>
              <w:left w:val="nil"/>
              <w:bottom w:val="nil"/>
              <w:right w:val="nil"/>
            </w:tcBorders>
            <w:shd w:val="clear" w:color="auto" w:fill="auto"/>
            <w:noWrap/>
            <w:vAlign w:val="center"/>
            <w:hideMark/>
          </w:tcPr>
          <w:p w14:paraId="75779C5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7%</w:t>
            </w:r>
          </w:p>
        </w:tc>
        <w:tc>
          <w:tcPr>
            <w:tcW w:w="0" w:type="auto"/>
            <w:tcBorders>
              <w:top w:val="nil"/>
              <w:left w:val="nil"/>
              <w:bottom w:val="nil"/>
              <w:right w:val="nil"/>
            </w:tcBorders>
            <w:shd w:val="clear" w:color="auto" w:fill="auto"/>
            <w:noWrap/>
            <w:vAlign w:val="center"/>
            <w:hideMark/>
          </w:tcPr>
          <w:p w14:paraId="08B5CACB"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r>
      <w:tr w:rsidR="005562B3" w:rsidRPr="00E25190" w14:paraId="4A9ED5D9" w14:textId="77777777" w:rsidTr="00B44D37">
        <w:trPr>
          <w:trHeight w:val="270"/>
          <w:jc w:val="center"/>
        </w:trPr>
        <w:tc>
          <w:tcPr>
            <w:tcW w:w="0" w:type="auto"/>
            <w:tcBorders>
              <w:top w:val="nil"/>
              <w:left w:val="nil"/>
              <w:bottom w:val="nil"/>
              <w:right w:val="nil"/>
            </w:tcBorders>
            <w:shd w:val="clear" w:color="auto" w:fill="auto"/>
            <w:noWrap/>
            <w:vAlign w:val="center"/>
            <w:hideMark/>
          </w:tcPr>
          <w:p w14:paraId="2131D0A9"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泉州</w:t>
            </w:r>
          </w:p>
        </w:tc>
        <w:tc>
          <w:tcPr>
            <w:tcW w:w="0" w:type="auto"/>
            <w:tcBorders>
              <w:top w:val="nil"/>
              <w:left w:val="nil"/>
              <w:bottom w:val="nil"/>
              <w:right w:val="nil"/>
            </w:tcBorders>
            <w:shd w:val="clear" w:color="auto" w:fill="auto"/>
            <w:noWrap/>
            <w:vAlign w:val="center"/>
            <w:hideMark/>
          </w:tcPr>
          <w:p w14:paraId="0F1EA350"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c>
          <w:tcPr>
            <w:tcW w:w="0" w:type="auto"/>
            <w:tcBorders>
              <w:top w:val="nil"/>
              <w:left w:val="nil"/>
              <w:bottom w:val="nil"/>
              <w:right w:val="nil"/>
            </w:tcBorders>
            <w:shd w:val="clear" w:color="auto" w:fill="auto"/>
            <w:noWrap/>
            <w:vAlign w:val="center"/>
            <w:hideMark/>
          </w:tcPr>
          <w:p w14:paraId="256BE53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37454ED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11%</w:t>
            </w:r>
          </w:p>
        </w:tc>
        <w:tc>
          <w:tcPr>
            <w:tcW w:w="0" w:type="auto"/>
            <w:tcBorders>
              <w:top w:val="nil"/>
              <w:left w:val="nil"/>
              <w:bottom w:val="nil"/>
              <w:right w:val="nil"/>
            </w:tcBorders>
            <w:shd w:val="clear" w:color="auto" w:fill="auto"/>
            <w:noWrap/>
            <w:vAlign w:val="center"/>
            <w:hideMark/>
          </w:tcPr>
          <w:p w14:paraId="78ED679D"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c>
          <w:tcPr>
            <w:tcW w:w="0" w:type="auto"/>
            <w:tcBorders>
              <w:top w:val="nil"/>
              <w:left w:val="nil"/>
              <w:bottom w:val="nil"/>
              <w:right w:val="nil"/>
            </w:tcBorders>
            <w:shd w:val="clear" w:color="auto" w:fill="auto"/>
            <w:noWrap/>
            <w:vAlign w:val="center"/>
            <w:hideMark/>
          </w:tcPr>
          <w:p w14:paraId="46ACDB0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19%</w:t>
            </w:r>
          </w:p>
        </w:tc>
        <w:tc>
          <w:tcPr>
            <w:tcW w:w="0" w:type="auto"/>
            <w:tcBorders>
              <w:top w:val="nil"/>
              <w:left w:val="nil"/>
              <w:bottom w:val="nil"/>
              <w:right w:val="nil"/>
            </w:tcBorders>
            <w:shd w:val="clear" w:color="auto" w:fill="auto"/>
            <w:noWrap/>
            <w:vAlign w:val="center"/>
            <w:hideMark/>
          </w:tcPr>
          <w:p w14:paraId="705AC7FF"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29%</w:t>
            </w:r>
          </w:p>
        </w:tc>
        <w:tc>
          <w:tcPr>
            <w:tcW w:w="0" w:type="auto"/>
            <w:tcBorders>
              <w:top w:val="nil"/>
              <w:left w:val="nil"/>
              <w:bottom w:val="nil"/>
              <w:right w:val="nil"/>
            </w:tcBorders>
            <w:shd w:val="clear" w:color="auto" w:fill="auto"/>
            <w:noWrap/>
            <w:vAlign w:val="center"/>
            <w:hideMark/>
          </w:tcPr>
          <w:p w14:paraId="65B76D88"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16%</w:t>
            </w:r>
          </w:p>
        </w:tc>
        <w:tc>
          <w:tcPr>
            <w:tcW w:w="0" w:type="auto"/>
            <w:tcBorders>
              <w:top w:val="nil"/>
              <w:left w:val="nil"/>
              <w:bottom w:val="nil"/>
              <w:right w:val="nil"/>
            </w:tcBorders>
            <w:shd w:val="clear" w:color="auto" w:fill="auto"/>
            <w:noWrap/>
            <w:vAlign w:val="center"/>
            <w:hideMark/>
          </w:tcPr>
          <w:p w14:paraId="48F1E9D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nil"/>
              <w:right w:val="nil"/>
            </w:tcBorders>
            <w:shd w:val="clear" w:color="auto" w:fill="auto"/>
            <w:noWrap/>
            <w:vAlign w:val="center"/>
            <w:hideMark/>
          </w:tcPr>
          <w:p w14:paraId="03A4215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r>
      <w:tr w:rsidR="005562B3" w:rsidRPr="00E25190" w14:paraId="7409EAFC" w14:textId="77777777" w:rsidTr="00B44D37">
        <w:trPr>
          <w:trHeight w:val="270"/>
          <w:jc w:val="center"/>
        </w:trPr>
        <w:tc>
          <w:tcPr>
            <w:tcW w:w="0" w:type="auto"/>
            <w:tcBorders>
              <w:top w:val="nil"/>
              <w:left w:val="nil"/>
              <w:bottom w:val="single" w:sz="4" w:space="0" w:color="auto"/>
              <w:right w:val="nil"/>
            </w:tcBorders>
            <w:shd w:val="clear" w:color="auto" w:fill="auto"/>
            <w:noWrap/>
            <w:vAlign w:val="center"/>
            <w:hideMark/>
          </w:tcPr>
          <w:p w14:paraId="4A7ED33A"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滨州</w:t>
            </w:r>
          </w:p>
        </w:tc>
        <w:tc>
          <w:tcPr>
            <w:tcW w:w="0" w:type="auto"/>
            <w:tcBorders>
              <w:top w:val="nil"/>
              <w:left w:val="nil"/>
              <w:bottom w:val="single" w:sz="4" w:space="0" w:color="auto"/>
              <w:right w:val="nil"/>
            </w:tcBorders>
            <w:shd w:val="clear" w:color="auto" w:fill="auto"/>
            <w:noWrap/>
            <w:vAlign w:val="center"/>
            <w:hideMark/>
          </w:tcPr>
          <w:p w14:paraId="7E7A3966"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single" w:sz="4" w:space="0" w:color="auto"/>
              <w:right w:val="nil"/>
            </w:tcBorders>
            <w:shd w:val="clear" w:color="auto" w:fill="auto"/>
            <w:noWrap/>
            <w:vAlign w:val="center"/>
            <w:hideMark/>
          </w:tcPr>
          <w:p w14:paraId="31F8FC63"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w:t>
            </w:r>
          </w:p>
        </w:tc>
        <w:tc>
          <w:tcPr>
            <w:tcW w:w="0" w:type="auto"/>
            <w:tcBorders>
              <w:top w:val="nil"/>
              <w:left w:val="nil"/>
              <w:bottom w:val="single" w:sz="4" w:space="0" w:color="auto"/>
              <w:right w:val="nil"/>
            </w:tcBorders>
            <w:shd w:val="clear" w:color="auto" w:fill="auto"/>
            <w:noWrap/>
            <w:vAlign w:val="center"/>
            <w:hideMark/>
          </w:tcPr>
          <w:p w14:paraId="37F71EE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w:t>
            </w:r>
          </w:p>
        </w:tc>
        <w:tc>
          <w:tcPr>
            <w:tcW w:w="0" w:type="auto"/>
            <w:tcBorders>
              <w:top w:val="nil"/>
              <w:left w:val="nil"/>
              <w:bottom w:val="single" w:sz="4" w:space="0" w:color="auto"/>
              <w:right w:val="nil"/>
            </w:tcBorders>
            <w:shd w:val="clear" w:color="auto" w:fill="auto"/>
            <w:noWrap/>
            <w:vAlign w:val="center"/>
            <w:hideMark/>
          </w:tcPr>
          <w:p w14:paraId="1E68916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4%</w:t>
            </w:r>
          </w:p>
        </w:tc>
        <w:tc>
          <w:tcPr>
            <w:tcW w:w="0" w:type="auto"/>
            <w:tcBorders>
              <w:top w:val="nil"/>
              <w:left w:val="nil"/>
              <w:bottom w:val="single" w:sz="4" w:space="0" w:color="auto"/>
              <w:right w:val="nil"/>
            </w:tcBorders>
            <w:shd w:val="clear" w:color="auto" w:fill="auto"/>
            <w:noWrap/>
            <w:vAlign w:val="center"/>
            <w:hideMark/>
          </w:tcPr>
          <w:p w14:paraId="2C9FEDD2"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13%</w:t>
            </w:r>
          </w:p>
        </w:tc>
        <w:tc>
          <w:tcPr>
            <w:tcW w:w="0" w:type="auto"/>
            <w:tcBorders>
              <w:top w:val="nil"/>
              <w:left w:val="nil"/>
              <w:bottom w:val="single" w:sz="4" w:space="0" w:color="auto"/>
              <w:right w:val="nil"/>
            </w:tcBorders>
            <w:shd w:val="clear" w:color="auto" w:fill="auto"/>
            <w:noWrap/>
            <w:vAlign w:val="center"/>
            <w:hideMark/>
          </w:tcPr>
          <w:p w14:paraId="0E73685C" w14:textId="77777777" w:rsidR="005562B3" w:rsidRPr="00E25190" w:rsidRDefault="005562B3" w:rsidP="00B44D37">
            <w:pPr>
              <w:widowControl/>
              <w:jc w:val="center"/>
              <w:rPr>
                <w:rFonts w:ascii="宋体" w:eastAsia="宋体" w:hAnsi="宋体" w:cs="宋体"/>
                <w:b/>
                <w:bCs/>
                <w:color w:val="000000"/>
                <w:kern w:val="0"/>
                <w:sz w:val="20"/>
                <w:szCs w:val="20"/>
              </w:rPr>
            </w:pPr>
            <w:r w:rsidRPr="00E25190">
              <w:rPr>
                <w:rFonts w:ascii="宋体" w:eastAsia="宋体" w:hAnsi="宋体" w:cs="宋体" w:hint="eastAsia"/>
                <w:b/>
                <w:bCs/>
                <w:color w:val="000000"/>
                <w:kern w:val="0"/>
                <w:sz w:val="20"/>
                <w:szCs w:val="20"/>
              </w:rPr>
              <w:t>37%</w:t>
            </w:r>
          </w:p>
        </w:tc>
        <w:tc>
          <w:tcPr>
            <w:tcW w:w="0" w:type="auto"/>
            <w:tcBorders>
              <w:top w:val="nil"/>
              <w:left w:val="nil"/>
              <w:bottom w:val="single" w:sz="4" w:space="0" w:color="auto"/>
              <w:right w:val="nil"/>
            </w:tcBorders>
            <w:shd w:val="clear" w:color="auto" w:fill="auto"/>
            <w:noWrap/>
            <w:vAlign w:val="center"/>
            <w:hideMark/>
          </w:tcPr>
          <w:p w14:paraId="7C774771"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26%</w:t>
            </w:r>
          </w:p>
        </w:tc>
        <w:tc>
          <w:tcPr>
            <w:tcW w:w="0" w:type="auto"/>
            <w:tcBorders>
              <w:top w:val="nil"/>
              <w:left w:val="nil"/>
              <w:bottom w:val="single" w:sz="4" w:space="0" w:color="auto"/>
              <w:right w:val="nil"/>
            </w:tcBorders>
            <w:shd w:val="clear" w:color="auto" w:fill="auto"/>
            <w:noWrap/>
            <w:vAlign w:val="center"/>
            <w:hideMark/>
          </w:tcPr>
          <w:p w14:paraId="06FCB8D5"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8%</w:t>
            </w:r>
          </w:p>
        </w:tc>
        <w:tc>
          <w:tcPr>
            <w:tcW w:w="0" w:type="auto"/>
            <w:tcBorders>
              <w:top w:val="nil"/>
              <w:left w:val="nil"/>
              <w:bottom w:val="single" w:sz="4" w:space="0" w:color="auto"/>
              <w:right w:val="nil"/>
            </w:tcBorders>
            <w:shd w:val="clear" w:color="auto" w:fill="auto"/>
            <w:noWrap/>
            <w:vAlign w:val="center"/>
            <w:hideMark/>
          </w:tcPr>
          <w:p w14:paraId="284B83BE" w14:textId="77777777" w:rsidR="005562B3" w:rsidRPr="00E25190" w:rsidRDefault="005562B3" w:rsidP="00B44D37">
            <w:pPr>
              <w:widowControl/>
              <w:jc w:val="center"/>
              <w:rPr>
                <w:rFonts w:ascii="宋体" w:eastAsia="宋体" w:hAnsi="宋体" w:cs="宋体"/>
                <w:color w:val="000000"/>
                <w:kern w:val="0"/>
                <w:sz w:val="20"/>
                <w:szCs w:val="20"/>
              </w:rPr>
            </w:pPr>
            <w:r w:rsidRPr="00E25190">
              <w:rPr>
                <w:rFonts w:ascii="宋体" w:eastAsia="宋体" w:hAnsi="宋体" w:cs="宋体" w:hint="eastAsia"/>
                <w:color w:val="000000"/>
                <w:kern w:val="0"/>
                <w:sz w:val="20"/>
                <w:szCs w:val="20"/>
              </w:rPr>
              <w:t>6%</w:t>
            </w:r>
          </w:p>
        </w:tc>
      </w:tr>
    </w:tbl>
    <w:p w14:paraId="300A5E4E" w14:textId="3F7D170A" w:rsidR="00B44D37" w:rsidRPr="00B44D37" w:rsidRDefault="00B44D37" w:rsidP="00B44D37">
      <w:pPr>
        <w:adjustRightInd w:val="0"/>
        <w:snapToGrid w:val="0"/>
        <w:spacing w:beforeLines="50" w:before="156"/>
        <w:ind w:right="132"/>
        <w:jc w:val="left"/>
        <w:rPr>
          <w:rFonts w:ascii="宋体" w:eastAsia="宋体" w:hAnsi="宋体" w:cs="Arial"/>
          <w:sz w:val="20"/>
          <w:szCs w:val="21"/>
        </w:rPr>
      </w:pPr>
      <w:r w:rsidRPr="00B44D37">
        <w:rPr>
          <w:rFonts w:ascii="宋体" w:eastAsia="宋体" w:hAnsi="宋体" w:cs="Arial" w:hint="eastAsia"/>
          <w:sz w:val="20"/>
          <w:szCs w:val="21"/>
        </w:rPr>
        <w:t>注：</w:t>
      </w:r>
      <w:r>
        <w:rPr>
          <w:rFonts w:ascii="宋体" w:eastAsia="宋体" w:hAnsi="宋体" w:cs="Arial" w:hint="eastAsia"/>
          <w:sz w:val="20"/>
          <w:szCs w:val="21"/>
        </w:rPr>
        <w:t>因大多数城市</w:t>
      </w:r>
      <w:r w:rsidR="00AF6F75">
        <w:rPr>
          <w:rFonts w:ascii="宋体" w:eastAsia="宋体" w:hAnsi="宋体" w:cs="Arial" w:hint="eastAsia"/>
          <w:sz w:val="20"/>
          <w:szCs w:val="21"/>
        </w:rPr>
        <w:t>郊县</w:t>
      </w:r>
      <w:r>
        <w:rPr>
          <w:rFonts w:ascii="宋体" w:eastAsia="宋体" w:hAnsi="宋体" w:cs="Arial" w:hint="eastAsia"/>
          <w:sz w:val="20"/>
          <w:szCs w:val="21"/>
        </w:rPr>
        <w:t>结构性数据缺失，</w:t>
      </w:r>
      <w:r w:rsidRPr="00B44D37">
        <w:rPr>
          <w:rFonts w:ascii="宋体" w:eastAsia="宋体" w:hAnsi="宋体" w:cs="Arial" w:hint="eastAsia"/>
          <w:sz w:val="20"/>
          <w:szCs w:val="21"/>
        </w:rPr>
        <w:t>分面积</w:t>
      </w:r>
      <w:r w:rsidR="00BC0346">
        <w:rPr>
          <w:rFonts w:ascii="宋体" w:eastAsia="宋体" w:hAnsi="宋体" w:cs="Arial" w:hint="eastAsia"/>
          <w:sz w:val="20"/>
          <w:szCs w:val="21"/>
        </w:rPr>
        <w:t>段</w:t>
      </w:r>
      <w:r w:rsidRPr="00B44D37">
        <w:rPr>
          <w:rFonts w:ascii="宋体" w:eastAsia="宋体" w:hAnsi="宋体" w:cs="Arial" w:hint="eastAsia"/>
          <w:sz w:val="20"/>
          <w:szCs w:val="21"/>
        </w:rPr>
        <w:t>产品库存数据与全市统计范围</w:t>
      </w:r>
      <w:r>
        <w:rPr>
          <w:rFonts w:ascii="宋体" w:eastAsia="宋体" w:hAnsi="宋体" w:cs="Arial" w:hint="eastAsia"/>
          <w:sz w:val="20"/>
          <w:szCs w:val="21"/>
        </w:rPr>
        <w:t>并不完全一致，本章下同</w:t>
      </w:r>
    </w:p>
    <w:p w14:paraId="5088A68B" w14:textId="77777777" w:rsidR="00B44D37" w:rsidRPr="00B44D37" w:rsidRDefault="00B44D37" w:rsidP="00B44D37">
      <w:pPr>
        <w:spacing w:line="440" w:lineRule="exact"/>
        <w:ind w:leftChars="100" w:left="210"/>
        <w:jc w:val="right"/>
        <w:rPr>
          <w:rFonts w:ascii="宋体" w:hAnsi="宋体"/>
          <w:b/>
          <w:bCs/>
          <w:sz w:val="20"/>
        </w:rPr>
      </w:pPr>
      <w:r w:rsidRPr="00B44D37">
        <w:rPr>
          <w:rFonts w:ascii="宋体" w:hAnsi="宋体" w:hint="eastAsia"/>
          <w:b/>
          <w:bCs/>
          <w:sz w:val="20"/>
        </w:rPr>
        <w:t>数据来源：CRIC</w:t>
      </w:r>
      <w:r w:rsidRPr="00B44D37">
        <w:rPr>
          <w:rFonts w:ascii="宋体" w:hAnsi="宋体"/>
          <w:b/>
          <w:bCs/>
          <w:sz w:val="20"/>
        </w:rPr>
        <w:t xml:space="preserve"> </w:t>
      </w:r>
    </w:p>
    <w:p w14:paraId="3620059F" w14:textId="726BE456" w:rsidR="00B24094" w:rsidRDefault="005562B3" w:rsidP="005562B3">
      <w:pPr>
        <w:spacing w:line="440" w:lineRule="exact"/>
        <w:jc w:val="left"/>
        <w:outlineLvl w:val="3"/>
        <w:rPr>
          <w:rFonts w:ascii="宋体" w:eastAsia="宋体" w:hAnsi="宋体" w:cs="方正兰亭中黑简体"/>
          <w:b/>
          <w:bCs/>
          <w:szCs w:val="21"/>
        </w:rPr>
      </w:pPr>
      <w:r>
        <w:rPr>
          <w:rFonts w:ascii="宋体" w:eastAsia="宋体" w:hAnsi="宋体" w:cs="方正兰亭中黑简体" w:hint="eastAsia"/>
          <w:b/>
          <w:bCs/>
          <w:szCs w:val="21"/>
        </w:rPr>
        <w:t>（2）</w:t>
      </w:r>
      <w:r w:rsidR="00B24094">
        <w:rPr>
          <w:rFonts w:ascii="宋体" w:eastAsia="宋体" w:hAnsi="宋体" w:cs="方正兰亭中黑简体" w:hint="eastAsia"/>
          <w:b/>
          <w:bCs/>
          <w:szCs w:val="21"/>
        </w:rPr>
        <w:t>五类城市结构性特征显著，多数中大户型去化压力较低</w:t>
      </w:r>
    </w:p>
    <w:p w14:paraId="27B607D5" w14:textId="77777777" w:rsidR="005562B3" w:rsidRDefault="005562B3" w:rsidP="005562B3">
      <w:pPr>
        <w:spacing w:line="440" w:lineRule="exact"/>
        <w:ind w:firstLineChars="200" w:firstLine="420"/>
        <w:rPr>
          <w:rFonts w:ascii="宋体" w:eastAsia="宋体" w:hAnsi="宋体" w:cs="Times New Roman"/>
        </w:rPr>
      </w:pPr>
      <w:r>
        <w:rPr>
          <w:rFonts w:ascii="宋体" w:eastAsia="宋体" w:hAnsi="宋体" w:cs="Times New Roman" w:hint="eastAsia"/>
        </w:rPr>
        <w:t>由于</w:t>
      </w:r>
      <w:r>
        <w:rPr>
          <w:rFonts w:ascii="宋体" w:eastAsia="宋体" w:hAnsi="宋体" w:cs="Times New Roman"/>
        </w:rPr>
        <w:t>城市数量较多，</w:t>
      </w:r>
      <w:r>
        <w:rPr>
          <w:rFonts w:ascii="宋体" w:eastAsia="宋体" w:hAnsi="宋体" w:cs="Times New Roman" w:hint="eastAsia"/>
        </w:rPr>
        <w:t>为了</w:t>
      </w:r>
      <w:r>
        <w:rPr>
          <w:rFonts w:ascii="宋体" w:eastAsia="宋体" w:hAnsi="宋体" w:cs="Times New Roman"/>
        </w:rPr>
        <w:t>便于</w:t>
      </w:r>
      <w:r>
        <w:rPr>
          <w:rFonts w:ascii="宋体" w:eastAsia="宋体" w:hAnsi="宋体" w:cs="Times New Roman" w:hint="eastAsia"/>
        </w:rPr>
        <w:t>叙述</w:t>
      </w:r>
      <w:r>
        <w:rPr>
          <w:rFonts w:ascii="宋体" w:eastAsia="宋体" w:hAnsi="宋体" w:cs="Times New Roman"/>
        </w:rPr>
        <w:t>，我们</w:t>
      </w:r>
      <w:r>
        <w:rPr>
          <w:rFonts w:ascii="宋体" w:eastAsia="宋体" w:hAnsi="宋体" w:cs="Times New Roman" w:hint="eastAsia"/>
        </w:rPr>
        <w:t>将依照分面积段的</w:t>
      </w:r>
      <w:r>
        <w:rPr>
          <w:rFonts w:ascii="宋体" w:eastAsia="宋体" w:hAnsi="宋体" w:cs="Times New Roman"/>
        </w:rPr>
        <w:t>库存</w:t>
      </w:r>
      <w:r>
        <w:rPr>
          <w:rFonts w:ascii="宋体" w:eastAsia="宋体" w:hAnsi="宋体" w:cs="Times New Roman" w:hint="eastAsia"/>
        </w:rPr>
        <w:t>消化周期长短将典型</w:t>
      </w:r>
      <w:r>
        <w:rPr>
          <w:rFonts w:ascii="宋体" w:eastAsia="宋体" w:hAnsi="宋体" w:cs="Times New Roman"/>
        </w:rPr>
        <w:t>城市大致分为</w:t>
      </w:r>
      <w:r>
        <w:rPr>
          <w:rFonts w:ascii="宋体" w:eastAsia="宋体" w:hAnsi="宋体" w:cs="Times New Roman" w:hint="eastAsia"/>
        </w:rPr>
        <w:t>五</w:t>
      </w:r>
      <w:r>
        <w:rPr>
          <w:rFonts w:ascii="宋体" w:eastAsia="宋体" w:hAnsi="宋体" w:cs="Times New Roman"/>
        </w:rPr>
        <w:t>类</w:t>
      </w:r>
      <w:r>
        <w:rPr>
          <w:rFonts w:ascii="宋体" w:eastAsia="宋体" w:hAnsi="宋体" w:cs="Times New Roman" w:hint="eastAsia"/>
        </w:rPr>
        <w:t>——</w:t>
      </w:r>
      <w:r>
        <w:rPr>
          <w:rFonts w:ascii="宋体" w:eastAsia="宋体" w:hAnsi="宋体" w:cs="Times New Roman"/>
        </w:rPr>
        <w:t>全面</w:t>
      </w:r>
      <w:r>
        <w:rPr>
          <w:rFonts w:ascii="宋体" w:eastAsia="宋体" w:hAnsi="宋体" w:cs="Times New Roman" w:hint="eastAsia"/>
        </w:rPr>
        <w:t>滞销</w:t>
      </w:r>
      <w:r>
        <w:rPr>
          <w:rFonts w:ascii="宋体" w:eastAsia="宋体" w:hAnsi="宋体" w:cs="Times New Roman"/>
        </w:rPr>
        <w:t>、刚需</w:t>
      </w:r>
      <w:r>
        <w:rPr>
          <w:rFonts w:ascii="宋体" w:eastAsia="宋体" w:hAnsi="宋体" w:cs="Times New Roman" w:hint="eastAsia"/>
        </w:rPr>
        <w:t>产品</w:t>
      </w:r>
      <w:r>
        <w:rPr>
          <w:rFonts w:ascii="宋体" w:eastAsia="宋体" w:hAnsi="宋体" w:cs="Times New Roman"/>
        </w:rPr>
        <w:t>承压、</w:t>
      </w:r>
      <w:r>
        <w:rPr>
          <w:rFonts w:ascii="宋体" w:eastAsia="宋体" w:hAnsi="宋体" w:cs="Times New Roman" w:hint="eastAsia"/>
        </w:rPr>
        <w:t>改善产品</w:t>
      </w:r>
      <w:r>
        <w:rPr>
          <w:rFonts w:ascii="宋体" w:eastAsia="宋体" w:hAnsi="宋体" w:cs="Times New Roman"/>
        </w:rPr>
        <w:t>承压</w:t>
      </w:r>
      <w:r>
        <w:rPr>
          <w:rFonts w:ascii="宋体" w:eastAsia="宋体" w:hAnsi="宋体" w:cs="Times New Roman" w:hint="eastAsia"/>
        </w:rPr>
        <w:t>、</w:t>
      </w:r>
      <w:r>
        <w:rPr>
          <w:rFonts w:ascii="宋体" w:eastAsia="宋体" w:hAnsi="宋体" w:cs="Times New Roman"/>
        </w:rPr>
        <w:t>两头承压</w:t>
      </w:r>
      <w:r>
        <w:rPr>
          <w:rFonts w:ascii="宋体" w:eastAsia="宋体" w:hAnsi="宋体" w:cs="Times New Roman" w:hint="eastAsia"/>
        </w:rPr>
        <w:t>、库存无虞。</w:t>
      </w:r>
    </w:p>
    <w:p w14:paraId="0D572F8D" w14:textId="77777777" w:rsidR="005562B3" w:rsidRDefault="005562B3" w:rsidP="005562B3">
      <w:pPr>
        <w:spacing w:line="440" w:lineRule="exact"/>
        <w:ind w:firstLineChars="200" w:firstLine="422"/>
        <w:rPr>
          <w:rFonts w:ascii="宋体" w:eastAsia="宋体" w:hAnsi="宋体" w:cs="Times New Roman"/>
          <w:b/>
        </w:rPr>
      </w:pPr>
      <w:r>
        <w:rPr>
          <w:rFonts w:ascii="宋体" w:eastAsia="宋体" w:hAnsi="宋体" w:cs="Times New Roman" w:hint="eastAsia"/>
          <w:b/>
        </w:rPr>
        <w:t>第一</w:t>
      </w:r>
      <w:r>
        <w:rPr>
          <w:rFonts w:ascii="宋体" w:eastAsia="宋体" w:hAnsi="宋体" w:cs="Times New Roman"/>
          <w:b/>
        </w:rPr>
        <w:t>，</w:t>
      </w:r>
      <w:r>
        <w:rPr>
          <w:rFonts w:ascii="宋体" w:eastAsia="宋体" w:hAnsi="宋体" w:cs="Times New Roman" w:hint="eastAsia"/>
          <w:b/>
        </w:rPr>
        <w:t>哈尔滨</w:t>
      </w:r>
      <w:r>
        <w:rPr>
          <w:rFonts w:ascii="宋体" w:eastAsia="宋体" w:hAnsi="宋体" w:cs="Times New Roman"/>
          <w:b/>
        </w:rPr>
        <w:t>、</w:t>
      </w:r>
      <w:r>
        <w:rPr>
          <w:rFonts w:ascii="宋体" w:eastAsia="宋体" w:hAnsi="宋体" w:cs="Times New Roman" w:hint="eastAsia"/>
          <w:b/>
        </w:rPr>
        <w:t>北海等</w:t>
      </w:r>
      <w:r>
        <w:rPr>
          <w:rFonts w:ascii="宋体" w:eastAsia="宋体" w:hAnsi="宋体" w:cs="Times New Roman"/>
          <w:b/>
        </w:rPr>
        <w:t>全面</w:t>
      </w:r>
      <w:r>
        <w:rPr>
          <w:rFonts w:ascii="宋体" w:eastAsia="宋体" w:hAnsi="宋体" w:cs="Times New Roman" w:hint="eastAsia"/>
          <w:b/>
        </w:rPr>
        <w:t>滞销型</w:t>
      </w:r>
      <w:r>
        <w:rPr>
          <w:rFonts w:ascii="宋体" w:eastAsia="宋体" w:hAnsi="宋体" w:cs="Times New Roman"/>
          <w:b/>
        </w:rPr>
        <w:t>，</w:t>
      </w:r>
      <w:r w:rsidRPr="002557B0">
        <w:rPr>
          <w:rFonts w:ascii="宋体" w:eastAsia="宋体" w:hAnsi="宋体" w:cs="Times New Roman"/>
        </w:rPr>
        <w:t>即</w:t>
      </w:r>
      <w:r w:rsidRPr="002557B0">
        <w:rPr>
          <w:rFonts w:ascii="宋体" w:eastAsia="宋体" w:hAnsi="宋体" w:cs="Times New Roman" w:hint="eastAsia"/>
        </w:rPr>
        <w:t>新房</w:t>
      </w:r>
      <w:r w:rsidRPr="002557B0">
        <w:rPr>
          <w:rFonts w:ascii="宋体" w:eastAsia="宋体" w:hAnsi="宋体" w:cs="Times New Roman"/>
        </w:rPr>
        <w:t>严重滞销，所有面积段</w:t>
      </w:r>
      <w:r w:rsidRPr="002557B0">
        <w:rPr>
          <w:rFonts w:ascii="宋体" w:eastAsia="宋体" w:hAnsi="宋体" w:cs="Times New Roman" w:hint="eastAsia"/>
        </w:rPr>
        <w:t>的库存</w:t>
      </w:r>
      <w:r w:rsidRPr="002557B0">
        <w:rPr>
          <w:rFonts w:ascii="宋体" w:eastAsia="宋体" w:hAnsi="宋体" w:cs="Times New Roman"/>
        </w:rPr>
        <w:t>消化周期均</w:t>
      </w:r>
      <w:r w:rsidRPr="002557B0">
        <w:rPr>
          <w:rFonts w:ascii="宋体" w:eastAsia="宋体" w:hAnsi="宋体" w:cs="Times New Roman" w:hint="eastAsia"/>
        </w:rPr>
        <w:t>远超警戒线</w:t>
      </w:r>
      <w:r>
        <w:rPr>
          <w:rFonts w:ascii="宋体" w:eastAsia="宋体" w:hAnsi="宋体" w:cs="Times New Roman"/>
          <w:b/>
        </w:rPr>
        <w:t>。</w:t>
      </w:r>
      <w:r>
        <w:rPr>
          <w:rFonts w:ascii="宋体" w:eastAsia="宋体" w:hAnsi="宋体" w:cs="Times New Roman" w:hint="eastAsia"/>
        </w:rPr>
        <w:t>例如哈尔滨</w:t>
      </w:r>
      <w:r>
        <w:rPr>
          <w:rFonts w:ascii="宋体" w:eastAsia="宋体" w:hAnsi="宋体" w:cs="Times New Roman"/>
        </w:rPr>
        <w:t>，</w:t>
      </w:r>
      <w:r>
        <w:rPr>
          <w:rFonts w:ascii="宋体" w:eastAsia="宋体" w:hAnsi="宋体" w:cs="Times New Roman" w:hint="eastAsia"/>
        </w:rPr>
        <w:t>人口流失购房需求持续</w:t>
      </w:r>
      <w:r>
        <w:rPr>
          <w:rFonts w:ascii="宋体" w:eastAsia="宋体" w:hAnsi="宋体" w:cs="Times New Roman"/>
        </w:rPr>
        <w:t>低迷</w:t>
      </w:r>
      <w:r>
        <w:rPr>
          <w:rFonts w:ascii="宋体" w:eastAsia="宋体" w:hAnsi="宋体" w:cs="Times New Roman" w:hint="eastAsia"/>
        </w:rPr>
        <w:t>，2022年政策</w:t>
      </w:r>
      <w:r>
        <w:rPr>
          <w:rFonts w:ascii="宋体" w:eastAsia="宋体" w:hAnsi="宋体" w:cs="Times New Roman"/>
        </w:rPr>
        <w:t>连番松绑</w:t>
      </w:r>
      <w:r>
        <w:rPr>
          <w:rFonts w:ascii="宋体" w:eastAsia="宋体" w:hAnsi="宋体" w:cs="Times New Roman" w:hint="eastAsia"/>
        </w:rPr>
        <w:t>也难撬动住房</w:t>
      </w:r>
      <w:r>
        <w:rPr>
          <w:rFonts w:ascii="宋体" w:eastAsia="宋体" w:hAnsi="宋体" w:cs="Times New Roman"/>
        </w:rPr>
        <w:t>消费，</w:t>
      </w:r>
      <w:r>
        <w:rPr>
          <w:rFonts w:ascii="宋体" w:eastAsia="宋体" w:hAnsi="宋体" w:cs="Times New Roman" w:hint="eastAsia"/>
        </w:rPr>
        <w:t>各</w:t>
      </w:r>
      <w:r>
        <w:rPr>
          <w:rFonts w:ascii="宋体" w:eastAsia="宋体" w:hAnsi="宋体" w:cs="Times New Roman"/>
        </w:rPr>
        <w:t>面积段产品</w:t>
      </w:r>
      <w:r>
        <w:rPr>
          <w:rFonts w:ascii="宋体" w:eastAsia="宋体" w:hAnsi="宋体" w:cs="Times New Roman" w:hint="eastAsia"/>
        </w:rPr>
        <w:t>皆</w:t>
      </w:r>
      <w:r>
        <w:rPr>
          <w:rFonts w:ascii="宋体" w:eastAsia="宋体" w:hAnsi="宋体" w:cs="Times New Roman"/>
        </w:rPr>
        <w:t>陷入滞销</w:t>
      </w:r>
      <w:r>
        <w:rPr>
          <w:rFonts w:ascii="宋体" w:eastAsia="宋体" w:hAnsi="宋体" w:cs="Times New Roman" w:hint="eastAsia"/>
        </w:rPr>
        <w:t>，</w:t>
      </w:r>
      <w:r>
        <w:rPr>
          <w:rFonts w:ascii="宋体" w:eastAsia="宋体" w:hAnsi="宋体" w:cs="Times New Roman"/>
        </w:rPr>
        <w:t>库存去化</w:t>
      </w:r>
      <w:r>
        <w:rPr>
          <w:rFonts w:ascii="宋体" w:eastAsia="宋体" w:hAnsi="宋体" w:cs="Times New Roman" w:hint="eastAsia"/>
        </w:rPr>
        <w:t>周期</w:t>
      </w:r>
      <w:r>
        <w:rPr>
          <w:rFonts w:ascii="宋体" w:eastAsia="宋体" w:hAnsi="宋体" w:cs="Times New Roman"/>
        </w:rPr>
        <w:t>拉长</w:t>
      </w:r>
      <w:r>
        <w:rPr>
          <w:rFonts w:ascii="宋体" w:eastAsia="宋体" w:hAnsi="宋体" w:cs="Times New Roman" w:hint="eastAsia"/>
        </w:rPr>
        <w:t>至30个</w:t>
      </w:r>
      <w:r>
        <w:rPr>
          <w:rFonts w:ascii="宋体" w:eastAsia="宋体" w:hAnsi="宋体" w:cs="Times New Roman"/>
        </w:rPr>
        <w:t>月以上。</w:t>
      </w:r>
    </w:p>
    <w:p w14:paraId="64C7FE66" w14:textId="6577F853" w:rsidR="005562B3" w:rsidRDefault="005562B3" w:rsidP="005562B3">
      <w:pPr>
        <w:spacing w:line="440" w:lineRule="exact"/>
        <w:ind w:firstLineChars="200" w:firstLine="422"/>
        <w:rPr>
          <w:rFonts w:ascii="宋体" w:eastAsia="宋体" w:hAnsi="宋体" w:cs="Times New Roman"/>
        </w:rPr>
      </w:pPr>
      <w:r>
        <w:rPr>
          <w:rFonts w:ascii="宋体" w:eastAsia="宋体" w:hAnsi="宋体" w:cs="Times New Roman" w:hint="eastAsia"/>
          <w:b/>
        </w:rPr>
        <w:t>第二</w:t>
      </w:r>
      <w:r>
        <w:rPr>
          <w:rFonts w:ascii="宋体" w:eastAsia="宋体" w:hAnsi="宋体" w:cs="Times New Roman"/>
          <w:b/>
        </w:rPr>
        <w:t>，</w:t>
      </w:r>
      <w:r>
        <w:rPr>
          <w:rFonts w:ascii="宋体" w:eastAsia="宋体" w:hAnsi="宋体" w:cs="Times New Roman" w:hint="eastAsia"/>
          <w:b/>
        </w:rPr>
        <w:t>嘉兴、</w:t>
      </w:r>
      <w:r>
        <w:rPr>
          <w:rFonts w:ascii="宋体" w:eastAsia="宋体" w:hAnsi="宋体" w:cs="Times New Roman"/>
          <w:b/>
        </w:rPr>
        <w:t>徐州等刚需</w:t>
      </w:r>
      <w:r>
        <w:rPr>
          <w:rFonts w:ascii="宋体" w:eastAsia="宋体" w:hAnsi="宋体" w:cs="Times New Roman" w:hint="eastAsia"/>
          <w:b/>
        </w:rPr>
        <w:t>产品</w:t>
      </w:r>
      <w:r>
        <w:rPr>
          <w:rFonts w:ascii="宋体" w:eastAsia="宋体" w:hAnsi="宋体" w:cs="Times New Roman"/>
          <w:b/>
        </w:rPr>
        <w:t>承压</w:t>
      </w:r>
      <w:r>
        <w:rPr>
          <w:rFonts w:ascii="宋体" w:eastAsia="宋体" w:hAnsi="宋体" w:cs="Times New Roman" w:hint="eastAsia"/>
          <w:b/>
        </w:rPr>
        <w:t>型，</w:t>
      </w:r>
      <w:r w:rsidRPr="002557B0">
        <w:rPr>
          <w:rFonts w:ascii="宋体" w:eastAsia="宋体" w:hAnsi="宋体" w:cs="Times New Roman"/>
        </w:rPr>
        <w:t>即小户型库存积压</w:t>
      </w:r>
      <w:r w:rsidRPr="002557B0">
        <w:rPr>
          <w:rFonts w:ascii="宋体" w:eastAsia="宋体" w:hAnsi="宋体" w:cs="Times New Roman" w:hint="eastAsia"/>
        </w:rPr>
        <w:t>消化周期超30个</w:t>
      </w:r>
      <w:r w:rsidRPr="002557B0">
        <w:rPr>
          <w:rFonts w:ascii="宋体" w:eastAsia="宋体" w:hAnsi="宋体" w:cs="Times New Roman"/>
        </w:rPr>
        <w:t>月</w:t>
      </w:r>
      <w:r w:rsidRPr="002557B0">
        <w:rPr>
          <w:rFonts w:ascii="宋体" w:eastAsia="宋体" w:hAnsi="宋体" w:cs="Times New Roman" w:hint="eastAsia"/>
        </w:rPr>
        <w:t>，大面积去化相对无压力</w:t>
      </w:r>
      <w:r w:rsidRPr="002557B0">
        <w:rPr>
          <w:rFonts w:ascii="宋体" w:eastAsia="宋体" w:hAnsi="宋体" w:cs="Times New Roman"/>
        </w:rPr>
        <w:t>。</w:t>
      </w:r>
      <w:r>
        <w:rPr>
          <w:rFonts w:ascii="宋体" w:eastAsia="宋体" w:hAnsi="宋体" w:cs="Times New Roman" w:hint="eastAsia"/>
        </w:rPr>
        <w:t>典型如嘉兴</w:t>
      </w:r>
      <w:r>
        <w:rPr>
          <w:rFonts w:ascii="宋体" w:eastAsia="宋体" w:hAnsi="宋体" w:cs="Times New Roman"/>
        </w:rPr>
        <w:t>，</w:t>
      </w:r>
      <w:r>
        <w:rPr>
          <w:rFonts w:ascii="宋体" w:eastAsia="宋体" w:hAnsi="宋体" w:cs="Times New Roman" w:hint="eastAsia"/>
        </w:rPr>
        <w:t>随着环沪</w:t>
      </w:r>
      <w:r>
        <w:rPr>
          <w:rFonts w:ascii="宋体" w:eastAsia="宋体" w:hAnsi="宋体" w:cs="Times New Roman"/>
        </w:rPr>
        <w:t>市场转冷</w:t>
      </w:r>
      <w:r>
        <w:rPr>
          <w:rFonts w:ascii="宋体" w:eastAsia="宋体" w:hAnsi="宋体" w:cs="Times New Roman" w:hint="eastAsia"/>
        </w:rPr>
        <w:t>、外来投资客离场</w:t>
      </w:r>
      <w:r>
        <w:rPr>
          <w:rFonts w:ascii="宋体" w:eastAsia="宋体" w:hAnsi="宋体" w:cs="Times New Roman"/>
        </w:rPr>
        <w:t>，</w:t>
      </w:r>
      <w:r>
        <w:rPr>
          <w:rFonts w:ascii="宋体" w:eastAsia="宋体" w:hAnsi="宋体" w:cs="Times New Roman" w:hint="eastAsia"/>
        </w:rPr>
        <w:t>小面积产品</w:t>
      </w:r>
      <w:r>
        <w:rPr>
          <w:rFonts w:ascii="宋体" w:eastAsia="宋体" w:hAnsi="宋体" w:cs="Times New Roman"/>
        </w:rPr>
        <w:t>去化压力持续攀升，</w:t>
      </w:r>
      <w:r>
        <w:rPr>
          <w:rFonts w:ascii="宋体" w:eastAsia="宋体" w:hAnsi="宋体" w:cs="Times New Roman" w:hint="eastAsia"/>
        </w:rPr>
        <w:t>70</w:t>
      </w:r>
      <w:r w:rsidR="00F13738">
        <w:rPr>
          <w:rFonts w:ascii="宋体" w:eastAsia="宋体" w:hAnsi="宋体" w:cs="Times New Roman" w:hint="eastAsia"/>
        </w:rPr>
        <w:t>㎡</w:t>
      </w:r>
      <w:r>
        <w:rPr>
          <w:rFonts w:ascii="宋体" w:eastAsia="宋体" w:hAnsi="宋体" w:cs="Times New Roman" w:hint="eastAsia"/>
        </w:rPr>
        <w:t>以下</w:t>
      </w:r>
      <w:r>
        <w:rPr>
          <w:rFonts w:ascii="宋体" w:eastAsia="宋体" w:hAnsi="宋体" w:cs="Times New Roman"/>
        </w:rPr>
        <w:t>、</w:t>
      </w:r>
      <w:r>
        <w:rPr>
          <w:rFonts w:ascii="宋体" w:eastAsia="宋体" w:hAnsi="宋体" w:cs="Times New Roman" w:hint="eastAsia"/>
        </w:rPr>
        <w:t>70-80</w:t>
      </w:r>
      <w:r w:rsidR="00F13738">
        <w:rPr>
          <w:rFonts w:ascii="宋体" w:eastAsia="宋体" w:hAnsi="宋体" w:cs="Times New Roman" w:hint="eastAsia"/>
        </w:rPr>
        <w:t>㎡产品</w:t>
      </w:r>
      <w:r>
        <w:rPr>
          <w:rFonts w:ascii="宋体" w:eastAsia="宋体" w:hAnsi="宋体" w:cs="Times New Roman"/>
        </w:rPr>
        <w:t>库存消化周期都超过</w:t>
      </w:r>
      <w:r>
        <w:rPr>
          <w:rFonts w:ascii="宋体" w:eastAsia="宋体" w:hAnsi="宋体" w:cs="Times New Roman" w:hint="eastAsia"/>
        </w:rPr>
        <w:t>50个</w:t>
      </w:r>
      <w:r>
        <w:rPr>
          <w:rFonts w:ascii="宋体" w:eastAsia="宋体" w:hAnsi="宋体" w:cs="Times New Roman"/>
        </w:rPr>
        <w:t>月，</w:t>
      </w:r>
      <w:r>
        <w:rPr>
          <w:rFonts w:ascii="宋体" w:eastAsia="宋体" w:hAnsi="宋体" w:cs="Times New Roman" w:hint="eastAsia"/>
        </w:rPr>
        <w:t>而本地</w:t>
      </w:r>
      <w:r>
        <w:rPr>
          <w:rFonts w:ascii="宋体" w:eastAsia="宋体" w:hAnsi="宋体" w:cs="Times New Roman"/>
        </w:rPr>
        <w:t>改善需求支撑下</w:t>
      </w:r>
      <w:r>
        <w:rPr>
          <w:rFonts w:ascii="宋体" w:eastAsia="宋体" w:hAnsi="宋体" w:cs="Times New Roman" w:hint="eastAsia"/>
        </w:rPr>
        <w:t>大面积产品</w:t>
      </w:r>
      <w:r>
        <w:rPr>
          <w:rFonts w:ascii="宋体" w:eastAsia="宋体" w:hAnsi="宋体" w:cs="Times New Roman"/>
        </w:rPr>
        <w:t>去化无虞，</w:t>
      </w:r>
      <w:r>
        <w:rPr>
          <w:rFonts w:ascii="宋体" w:eastAsia="宋体" w:hAnsi="宋体" w:cs="Times New Roman" w:hint="eastAsia"/>
        </w:rPr>
        <w:t>180</w:t>
      </w:r>
      <w:r w:rsidR="00F13738">
        <w:rPr>
          <w:rFonts w:ascii="宋体" w:eastAsia="宋体" w:hAnsi="宋体" w:cs="Times New Roman" w:hint="eastAsia"/>
        </w:rPr>
        <w:t>㎡以上</w:t>
      </w:r>
      <w:r>
        <w:rPr>
          <w:rFonts w:ascii="宋体" w:eastAsia="宋体" w:hAnsi="宋体" w:cs="Times New Roman" w:hint="eastAsia"/>
        </w:rPr>
        <w:t>终改</w:t>
      </w:r>
      <w:r>
        <w:rPr>
          <w:rFonts w:ascii="宋体" w:eastAsia="宋体" w:hAnsi="宋体" w:cs="Times New Roman"/>
        </w:rPr>
        <w:t>产品</w:t>
      </w:r>
      <w:r>
        <w:rPr>
          <w:rFonts w:ascii="宋体" w:eastAsia="宋体" w:hAnsi="宋体" w:cs="Times New Roman" w:hint="eastAsia"/>
        </w:rPr>
        <w:t>库存</w:t>
      </w:r>
      <w:r>
        <w:rPr>
          <w:rFonts w:ascii="宋体" w:eastAsia="宋体" w:hAnsi="宋体" w:cs="Times New Roman"/>
        </w:rPr>
        <w:t>消化周期</w:t>
      </w:r>
      <w:r>
        <w:rPr>
          <w:rFonts w:ascii="宋体" w:eastAsia="宋体" w:hAnsi="宋体" w:cs="Times New Roman" w:hint="eastAsia"/>
        </w:rPr>
        <w:t>只有14个</w:t>
      </w:r>
      <w:r>
        <w:rPr>
          <w:rFonts w:ascii="宋体" w:eastAsia="宋体" w:hAnsi="宋体" w:cs="Times New Roman"/>
        </w:rPr>
        <w:t>月，160-180</w:t>
      </w:r>
      <w:r w:rsidR="00F13738">
        <w:rPr>
          <w:rFonts w:ascii="宋体" w:eastAsia="宋体" w:hAnsi="宋体" w:cs="Times New Roman" w:hint="eastAsia"/>
        </w:rPr>
        <w:t>㎡产品</w:t>
      </w:r>
      <w:r>
        <w:rPr>
          <w:rFonts w:ascii="宋体" w:eastAsia="宋体" w:hAnsi="宋体" w:cs="Times New Roman"/>
        </w:rPr>
        <w:t>更是</w:t>
      </w:r>
      <w:r>
        <w:rPr>
          <w:rFonts w:ascii="宋体" w:eastAsia="宋体" w:hAnsi="宋体" w:cs="Times New Roman" w:hint="eastAsia"/>
        </w:rPr>
        <w:t>低至9个</w:t>
      </w:r>
      <w:r>
        <w:rPr>
          <w:rFonts w:ascii="宋体" w:eastAsia="宋体" w:hAnsi="宋体" w:cs="Times New Roman"/>
        </w:rPr>
        <w:t>月</w:t>
      </w:r>
      <w:r>
        <w:rPr>
          <w:rFonts w:ascii="宋体" w:eastAsia="宋体" w:hAnsi="宋体" w:cs="Times New Roman" w:hint="eastAsia"/>
        </w:rPr>
        <w:t>。</w:t>
      </w:r>
    </w:p>
    <w:p w14:paraId="67778883" w14:textId="09C95A61" w:rsidR="005562B3" w:rsidRDefault="005562B3" w:rsidP="005562B3">
      <w:pPr>
        <w:spacing w:line="440" w:lineRule="exact"/>
        <w:ind w:firstLineChars="200" w:firstLine="422"/>
        <w:rPr>
          <w:rFonts w:ascii="宋体" w:eastAsia="宋体" w:hAnsi="宋体" w:cs="Times New Roman"/>
        </w:rPr>
      </w:pPr>
      <w:r>
        <w:rPr>
          <w:rFonts w:ascii="宋体" w:eastAsia="宋体" w:hAnsi="宋体" w:cs="Times New Roman" w:hint="eastAsia"/>
          <w:b/>
        </w:rPr>
        <w:t>第三</w:t>
      </w:r>
      <w:r>
        <w:rPr>
          <w:rFonts w:ascii="宋体" w:eastAsia="宋体" w:hAnsi="宋体" w:cs="Times New Roman"/>
          <w:b/>
        </w:rPr>
        <w:t>，</w:t>
      </w:r>
      <w:r>
        <w:rPr>
          <w:rFonts w:ascii="宋体" w:eastAsia="宋体" w:hAnsi="宋体" w:cs="Times New Roman" w:hint="eastAsia"/>
          <w:b/>
        </w:rPr>
        <w:t>资阳、</w:t>
      </w:r>
      <w:r>
        <w:rPr>
          <w:rFonts w:ascii="宋体" w:eastAsia="宋体" w:hAnsi="宋体" w:cs="Times New Roman"/>
          <w:b/>
        </w:rPr>
        <w:t>濮阳</w:t>
      </w:r>
      <w:r>
        <w:rPr>
          <w:rFonts w:ascii="宋体" w:eastAsia="宋体" w:hAnsi="宋体" w:cs="Times New Roman" w:hint="eastAsia"/>
          <w:b/>
        </w:rPr>
        <w:t>等改善产品</w:t>
      </w:r>
      <w:r>
        <w:rPr>
          <w:rFonts w:ascii="宋体" w:eastAsia="宋体" w:hAnsi="宋体" w:cs="Times New Roman"/>
          <w:b/>
        </w:rPr>
        <w:t>承压</w:t>
      </w:r>
      <w:r>
        <w:rPr>
          <w:rFonts w:ascii="宋体" w:eastAsia="宋体" w:hAnsi="宋体" w:cs="Times New Roman" w:hint="eastAsia"/>
          <w:b/>
        </w:rPr>
        <w:t>，</w:t>
      </w:r>
      <w:r w:rsidRPr="002557B0">
        <w:rPr>
          <w:rFonts w:ascii="宋体" w:eastAsia="宋体" w:hAnsi="宋体" w:cs="Times New Roman" w:hint="eastAsia"/>
        </w:rPr>
        <w:t>160</w:t>
      </w:r>
      <w:r w:rsidR="00F13738">
        <w:rPr>
          <w:rFonts w:ascii="宋体" w:eastAsia="宋体" w:hAnsi="宋体" w:cs="Times New Roman" w:hint="eastAsia"/>
        </w:rPr>
        <w:t>㎡以上</w:t>
      </w:r>
      <w:r w:rsidRPr="002557B0">
        <w:rPr>
          <w:rFonts w:ascii="宋体" w:eastAsia="宋体" w:hAnsi="宋体" w:cs="Times New Roman" w:hint="eastAsia"/>
        </w:rPr>
        <w:t>大面积产品去化不畅</w:t>
      </w:r>
      <w:r w:rsidRPr="002557B0">
        <w:rPr>
          <w:rFonts w:ascii="宋体" w:eastAsia="宋体" w:hAnsi="宋体" w:cs="Times New Roman"/>
        </w:rPr>
        <w:t>、</w:t>
      </w:r>
      <w:r w:rsidRPr="002557B0">
        <w:rPr>
          <w:rFonts w:ascii="宋体" w:eastAsia="宋体" w:hAnsi="宋体" w:cs="Times New Roman" w:hint="eastAsia"/>
        </w:rPr>
        <w:t>库存</w:t>
      </w:r>
      <w:r w:rsidRPr="002557B0">
        <w:rPr>
          <w:rFonts w:ascii="宋体" w:eastAsia="宋体" w:hAnsi="宋体" w:cs="Times New Roman"/>
        </w:rPr>
        <w:t>积压</w:t>
      </w:r>
      <w:r w:rsidRPr="002557B0">
        <w:rPr>
          <w:rFonts w:ascii="宋体" w:eastAsia="宋体" w:hAnsi="宋体" w:cs="Times New Roman" w:hint="eastAsia"/>
        </w:rPr>
        <w:t>。</w:t>
      </w:r>
      <w:r>
        <w:rPr>
          <w:rFonts w:ascii="宋体" w:eastAsia="宋体" w:hAnsi="宋体" w:cs="Times New Roman" w:hint="eastAsia"/>
        </w:rPr>
        <w:t>资阳</w:t>
      </w:r>
      <w:r>
        <w:rPr>
          <w:rFonts w:ascii="宋体" w:eastAsia="宋体" w:hAnsi="宋体" w:cs="Times New Roman"/>
        </w:rPr>
        <w:t>、濮阳等</w:t>
      </w:r>
      <w:r>
        <w:rPr>
          <w:rFonts w:ascii="宋体" w:eastAsia="宋体" w:hAnsi="宋体" w:cs="Times New Roman" w:hint="eastAsia"/>
        </w:rPr>
        <w:t>城镇</w:t>
      </w:r>
      <w:r>
        <w:rPr>
          <w:rFonts w:ascii="宋体" w:eastAsia="宋体" w:hAnsi="宋体" w:cs="Times New Roman"/>
        </w:rPr>
        <w:t>人均可支配收入</w:t>
      </w:r>
      <w:r>
        <w:rPr>
          <w:rFonts w:ascii="宋体" w:eastAsia="宋体" w:hAnsi="宋体" w:cs="Times New Roman" w:hint="eastAsia"/>
        </w:rPr>
        <w:t>排在</w:t>
      </w:r>
      <w:r>
        <w:rPr>
          <w:rFonts w:ascii="宋体" w:eastAsia="宋体" w:hAnsi="宋体" w:cs="Times New Roman"/>
        </w:rPr>
        <w:t>省内中下游位置，</w:t>
      </w:r>
      <w:r>
        <w:rPr>
          <w:rFonts w:ascii="宋体" w:eastAsia="宋体" w:hAnsi="宋体" w:cs="Times New Roman" w:hint="eastAsia"/>
        </w:rPr>
        <w:t>普通居民购买力不足制约</w:t>
      </w:r>
      <w:r>
        <w:rPr>
          <w:rFonts w:ascii="宋体" w:eastAsia="宋体" w:hAnsi="宋体" w:cs="Times New Roman"/>
        </w:rPr>
        <w:t>改善性需求的释放，</w:t>
      </w:r>
      <w:r>
        <w:rPr>
          <w:rFonts w:ascii="宋体" w:eastAsia="宋体" w:hAnsi="宋体" w:cs="Times New Roman" w:hint="eastAsia"/>
        </w:rPr>
        <w:t>而高购买力</w:t>
      </w:r>
      <w:r>
        <w:rPr>
          <w:rFonts w:ascii="宋体" w:eastAsia="宋体" w:hAnsi="宋体" w:cs="Times New Roman"/>
        </w:rPr>
        <w:t>人群可能</w:t>
      </w:r>
      <w:r>
        <w:rPr>
          <w:rFonts w:ascii="宋体" w:eastAsia="宋体" w:hAnsi="宋体" w:cs="Times New Roman" w:hint="eastAsia"/>
        </w:rPr>
        <w:t>选择去</w:t>
      </w:r>
      <w:r>
        <w:rPr>
          <w:rFonts w:ascii="宋体" w:eastAsia="宋体" w:hAnsi="宋体" w:cs="Times New Roman"/>
        </w:rPr>
        <w:t>成都等</w:t>
      </w:r>
      <w:r>
        <w:rPr>
          <w:rFonts w:ascii="宋体" w:eastAsia="宋体" w:hAnsi="宋体" w:cs="Times New Roman" w:hint="eastAsia"/>
        </w:rPr>
        <w:t>更</w:t>
      </w:r>
      <w:r>
        <w:rPr>
          <w:rFonts w:ascii="宋体" w:eastAsia="宋体" w:hAnsi="宋体" w:cs="Times New Roman"/>
        </w:rPr>
        <w:t>高能级城市</w:t>
      </w:r>
      <w:r>
        <w:rPr>
          <w:rFonts w:ascii="宋体" w:eastAsia="宋体" w:hAnsi="宋体" w:cs="Times New Roman" w:hint="eastAsia"/>
        </w:rPr>
        <w:t>置业</w:t>
      </w:r>
      <w:r>
        <w:rPr>
          <w:rFonts w:ascii="宋体" w:eastAsia="宋体" w:hAnsi="宋体" w:cs="Times New Roman"/>
        </w:rPr>
        <w:t>。</w:t>
      </w:r>
      <w:r>
        <w:rPr>
          <w:rFonts w:ascii="宋体" w:eastAsia="宋体" w:hAnsi="宋体" w:cs="Times New Roman" w:hint="eastAsia"/>
        </w:rPr>
        <w:t>以</w:t>
      </w:r>
      <w:r>
        <w:rPr>
          <w:rFonts w:ascii="宋体" w:eastAsia="宋体" w:hAnsi="宋体" w:cs="Times New Roman"/>
        </w:rPr>
        <w:t>资阳为例，</w:t>
      </w:r>
      <w:r>
        <w:rPr>
          <w:rFonts w:ascii="宋体" w:eastAsia="宋体" w:hAnsi="宋体" w:cs="Times New Roman" w:hint="eastAsia"/>
        </w:rPr>
        <w:t>70-120</w:t>
      </w:r>
      <w:r w:rsidR="00F13738">
        <w:rPr>
          <w:rFonts w:ascii="宋体" w:eastAsia="宋体" w:hAnsi="宋体" w:cs="Times New Roman" w:hint="eastAsia"/>
        </w:rPr>
        <w:t>㎡</w:t>
      </w:r>
      <w:r>
        <w:rPr>
          <w:rFonts w:ascii="宋体" w:eastAsia="宋体" w:hAnsi="宋体" w:cs="Times New Roman"/>
        </w:rPr>
        <w:t>各</w:t>
      </w:r>
      <w:r>
        <w:rPr>
          <w:rFonts w:ascii="宋体" w:eastAsia="宋体" w:hAnsi="宋体" w:cs="Times New Roman" w:hint="eastAsia"/>
        </w:rPr>
        <w:t>分段</w:t>
      </w:r>
      <w:r>
        <w:rPr>
          <w:rFonts w:ascii="宋体" w:eastAsia="宋体" w:hAnsi="宋体" w:cs="Times New Roman"/>
        </w:rPr>
        <w:t>产品消化周期都在</w:t>
      </w:r>
      <w:r>
        <w:rPr>
          <w:rFonts w:ascii="宋体" w:eastAsia="宋体" w:hAnsi="宋体" w:cs="Times New Roman" w:hint="eastAsia"/>
        </w:rPr>
        <w:t>18个</w:t>
      </w:r>
      <w:r>
        <w:rPr>
          <w:rFonts w:ascii="宋体" w:eastAsia="宋体" w:hAnsi="宋体" w:cs="Times New Roman"/>
        </w:rPr>
        <w:t>月以内，70</w:t>
      </w:r>
      <w:r w:rsidR="00F13738">
        <w:rPr>
          <w:rFonts w:ascii="宋体" w:eastAsia="宋体" w:hAnsi="宋体" w:cs="Times New Roman" w:hint="eastAsia"/>
        </w:rPr>
        <w:t>㎡以上</w:t>
      </w:r>
      <w:r>
        <w:rPr>
          <w:rFonts w:ascii="宋体" w:eastAsia="宋体" w:hAnsi="宋体" w:cs="Times New Roman"/>
        </w:rPr>
        <w:t>库存量不到</w:t>
      </w:r>
      <w:r>
        <w:rPr>
          <w:rFonts w:ascii="宋体" w:eastAsia="宋体" w:hAnsi="宋体" w:cs="Times New Roman" w:hint="eastAsia"/>
        </w:rPr>
        <w:t>1万</w:t>
      </w:r>
      <w:r>
        <w:rPr>
          <w:rFonts w:ascii="宋体" w:eastAsia="宋体" w:hAnsi="宋体" w:cs="Times New Roman"/>
        </w:rPr>
        <w:t>方，</w:t>
      </w:r>
      <w:r>
        <w:rPr>
          <w:rFonts w:ascii="宋体" w:eastAsia="宋体" w:hAnsi="宋体" w:cs="Times New Roman" w:hint="eastAsia"/>
        </w:rPr>
        <w:t>库存压力实际</w:t>
      </w:r>
      <w:r>
        <w:rPr>
          <w:rFonts w:ascii="宋体" w:eastAsia="宋体" w:hAnsi="宋体" w:cs="Times New Roman"/>
        </w:rPr>
        <w:t>并不大</w:t>
      </w:r>
      <w:r>
        <w:rPr>
          <w:rFonts w:ascii="宋体" w:eastAsia="宋体" w:hAnsi="宋体" w:cs="Times New Roman" w:hint="eastAsia"/>
        </w:rPr>
        <w:t>，</w:t>
      </w:r>
      <w:r>
        <w:rPr>
          <w:rFonts w:ascii="宋体" w:eastAsia="宋体" w:hAnsi="宋体" w:cs="Times New Roman"/>
        </w:rPr>
        <w:t>而反观</w:t>
      </w:r>
      <w:r>
        <w:rPr>
          <w:rFonts w:ascii="宋体" w:eastAsia="宋体" w:hAnsi="宋体" w:cs="Times New Roman" w:hint="eastAsia"/>
        </w:rPr>
        <w:t>120</w:t>
      </w:r>
      <w:r w:rsidR="00F13738">
        <w:rPr>
          <w:rFonts w:ascii="宋体" w:eastAsia="宋体" w:hAnsi="宋体" w:cs="Times New Roman" w:hint="eastAsia"/>
        </w:rPr>
        <w:t>㎡以上</w:t>
      </w:r>
      <w:r>
        <w:rPr>
          <w:rFonts w:ascii="宋体" w:eastAsia="宋体" w:hAnsi="宋体" w:cs="Times New Roman"/>
        </w:rPr>
        <w:t>产品消化周期逐级攀升，</w:t>
      </w:r>
      <w:r>
        <w:rPr>
          <w:rFonts w:ascii="宋体" w:eastAsia="宋体" w:hAnsi="宋体" w:cs="Times New Roman" w:hint="eastAsia"/>
        </w:rPr>
        <w:t>180</w:t>
      </w:r>
      <w:r w:rsidR="00F13738">
        <w:rPr>
          <w:rFonts w:ascii="宋体" w:eastAsia="宋体" w:hAnsi="宋体" w:cs="Times New Roman" w:hint="eastAsia"/>
        </w:rPr>
        <w:t>㎡以上</w:t>
      </w:r>
      <w:r>
        <w:rPr>
          <w:rFonts w:ascii="宋体" w:eastAsia="宋体" w:hAnsi="宋体" w:cs="Times New Roman"/>
        </w:rPr>
        <w:t>终改产品消化周期</w:t>
      </w:r>
      <w:r>
        <w:rPr>
          <w:rFonts w:ascii="宋体" w:eastAsia="宋体" w:hAnsi="宋体" w:cs="Times New Roman" w:hint="eastAsia"/>
        </w:rPr>
        <w:t>多达80个</w:t>
      </w:r>
      <w:r>
        <w:rPr>
          <w:rFonts w:ascii="宋体" w:eastAsia="宋体" w:hAnsi="宋体" w:cs="Times New Roman"/>
        </w:rPr>
        <w:t>月</w:t>
      </w:r>
      <w:r>
        <w:rPr>
          <w:rFonts w:ascii="宋体" w:eastAsia="宋体" w:hAnsi="宋体" w:cs="Times New Roman" w:hint="eastAsia"/>
        </w:rPr>
        <w:t>。</w:t>
      </w:r>
    </w:p>
    <w:p w14:paraId="6FBCF449" w14:textId="7C422B5B" w:rsidR="005562B3" w:rsidRDefault="005562B3" w:rsidP="005562B3">
      <w:pPr>
        <w:spacing w:line="440" w:lineRule="exact"/>
        <w:ind w:firstLineChars="200" w:firstLine="422"/>
        <w:rPr>
          <w:rFonts w:ascii="宋体" w:eastAsia="宋体" w:hAnsi="宋体" w:cs="Times New Roman"/>
        </w:rPr>
      </w:pPr>
      <w:r>
        <w:rPr>
          <w:rFonts w:ascii="宋体" w:eastAsia="宋体" w:hAnsi="宋体" w:cs="Times New Roman" w:hint="eastAsia"/>
          <w:b/>
        </w:rPr>
        <w:lastRenderedPageBreak/>
        <w:t>第四</w:t>
      </w:r>
      <w:r>
        <w:rPr>
          <w:rFonts w:ascii="宋体" w:eastAsia="宋体" w:hAnsi="宋体" w:cs="Times New Roman"/>
          <w:b/>
        </w:rPr>
        <w:t>，</w:t>
      </w:r>
      <w:r>
        <w:rPr>
          <w:rFonts w:ascii="宋体" w:eastAsia="宋体" w:hAnsi="宋体" w:cs="Times New Roman" w:hint="eastAsia"/>
          <w:b/>
        </w:rPr>
        <w:t>莆田</w:t>
      </w:r>
      <w:r>
        <w:rPr>
          <w:rFonts w:ascii="宋体" w:eastAsia="宋体" w:hAnsi="宋体" w:cs="Times New Roman"/>
          <w:b/>
        </w:rPr>
        <w:t>、</w:t>
      </w:r>
      <w:r>
        <w:rPr>
          <w:rFonts w:ascii="宋体" w:eastAsia="宋体" w:hAnsi="宋体" w:cs="Times New Roman" w:hint="eastAsia"/>
          <w:b/>
        </w:rPr>
        <w:t>运城</w:t>
      </w:r>
      <w:r>
        <w:rPr>
          <w:rFonts w:ascii="宋体" w:eastAsia="宋体" w:hAnsi="宋体" w:cs="Times New Roman"/>
          <w:b/>
        </w:rPr>
        <w:t>等</w:t>
      </w:r>
      <w:r>
        <w:rPr>
          <w:rFonts w:ascii="宋体" w:eastAsia="宋体" w:hAnsi="宋体" w:cs="Times New Roman" w:hint="eastAsia"/>
          <w:b/>
        </w:rPr>
        <w:t>两头</w:t>
      </w:r>
      <w:r>
        <w:rPr>
          <w:rFonts w:ascii="宋体" w:eastAsia="宋体" w:hAnsi="宋体" w:cs="Times New Roman"/>
          <w:b/>
        </w:rPr>
        <w:t>承压</w:t>
      </w:r>
      <w:r>
        <w:rPr>
          <w:rFonts w:ascii="宋体" w:eastAsia="宋体" w:hAnsi="宋体" w:cs="Times New Roman" w:hint="eastAsia"/>
          <w:b/>
        </w:rPr>
        <w:t>型，</w:t>
      </w:r>
      <w:r w:rsidRPr="002557B0">
        <w:rPr>
          <w:rFonts w:ascii="宋体" w:eastAsia="宋体" w:hAnsi="宋体" w:cs="Times New Roman"/>
        </w:rPr>
        <w:t>中间面积段</w:t>
      </w:r>
      <w:r w:rsidRPr="002557B0">
        <w:rPr>
          <w:rFonts w:ascii="宋体" w:eastAsia="宋体" w:hAnsi="宋体" w:cs="Times New Roman" w:hint="eastAsia"/>
        </w:rPr>
        <w:t>去化</w:t>
      </w:r>
      <w:r w:rsidRPr="002557B0">
        <w:rPr>
          <w:rFonts w:ascii="宋体" w:eastAsia="宋体" w:hAnsi="宋体" w:cs="Times New Roman"/>
        </w:rPr>
        <w:t>无忧，一大一小</w:t>
      </w:r>
      <w:r w:rsidRPr="002557B0">
        <w:rPr>
          <w:rFonts w:ascii="宋体" w:eastAsia="宋体" w:hAnsi="宋体" w:cs="Times New Roman" w:hint="eastAsia"/>
        </w:rPr>
        <w:t>产品库存</w:t>
      </w:r>
      <w:r w:rsidRPr="002557B0">
        <w:rPr>
          <w:rFonts w:ascii="宋体" w:eastAsia="宋体" w:hAnsi="宋体" w:cs="Times New Roman"/>
        </w:rPr>
        <w:t>积压。</w:t>
      </w:r>
      <w:r>
        <w:rPr>
          <w:rFonts w:ascii="宋体" w:eastAsia="宋体" w:hAnsi="宋体" w:cs="Times New Roman" w:hint="eastAsia"/>
        </w:rPr>
        <w:t>这类</w:t>
      </w:r>
      <w:r>
        <w:rPr>
          <w:rFonts w:ascii="宋体" w:eastAsia="宋体" w:hAnsi="宋体" w:cs="Times New Roman"/>
        </w:rPr>
        <w:t>城市</w:t>
      </w:r>
      <w:r>
        <w:rPr>
          <w:rFonts w:ascii="宋体" w:eastAsia="宋体" w:hAnsi="宋体" w:cs="Times New Roman" w:hint="eastAsia"/>
        </w:rPr>
        <w:t>市场</w:t>
      </w:r>
      <w:r>
        <w:rPr>
          <w:rFonts w:ascii="宋体" w:eastAsia="宋体" w:hAnsi="宋体" w:cs="Times New Roman"/>
        </w:rPr>
        <w:t>更认可90-140</w:t>
      </w:r>
      <w:r w:rsidR="00F13738">
        <w:rPr>
          <w:rFonts w:ascii="宋体" w:eastAsia="宋体" w:hAnsi="宋体" w:cs="Times New Roman" w:hint="eastAsia"/>
        </w:rPr>
        <w:t>㎡</w:t>
      </w:r>
      <w:r>
        <w:rPr>
          <w:rFonts w:ascii="宋体" w:eastAsia="宋体" w:hAnsi="宋体" w:cs="Times New Roman"/>
        </w:rPr>
        <w:t>的主流产品，</w:t>
      </w:r>
      <w:r>
        <w:rPr>
          <w:rFonts w:ascii="宋体" w:eastAsia="宋体" w:hAnsi="宋体" w:cs="Times New Roman" w:hint="eastAsia"/>
        </w:rPr>
        <w:t>中等</w:t>
      </w:r>
      <w:r>
        <w:rPr>
          <w:rFonts w:ascii="宋体" w:eastAsia="宋体" w:hAnsi="宋体" w:cs="Times New Roman"/>
        </w:rPr>
        <w:t>面积产品</w:t>
      </w:r>
      <w:r>
        <w:rPr>
          <w:rFonts w:ascii="宋体" w:eastAsia="宋体" w:hAnsi="宋体" w:cs="Times New Roman" w:hint="eastAsia"/>
        </w:rPr>
        <w:t>去化顺畅</w:t>
      </w:r>
      <w:r>
        <w:rPr>
          <w:rFonts w:ascii="宋体" w:eastAsia="宋体" w:hAnsi="宋体" w:cs="Times New Roman"/>
        </w:rPr>
        <w:t>，而</w:t>
      </w:r>
      <w:r>
        <w:rPr>
          <w:rFonts w:ascii="宋体" w:eastAsia="宋体" w:hAnsi="宋体" w:cs="Times New Roman" w:hint="eastAsia"/>
        </w:rPr>
        <w:t>80</w:t>
      </w:r>
      <w:r w:rsidR="00F13738">
        <w:rPr>
          <w:rFonts w:ascii="宋体" w:eastAsia="宋体" w:hAnsi="宋体" w:cs="Times New Roman" w:hint="eastAsia"/>
        </w:rPr>
        <w:t>㎡以上</w:t>
      </w:r>
      <w:r>
        <w:rPr>
          <w:rFonts w:ascii="宋体" w:eastAsia="宋体" w:hAnsi="宋体" w:cs="Times New Roman" w:hint="eastAsia"/>
        </w:rPr>
        <w:t>、160</w:t>
      </w:r>
      <w:r w:rsidR="00F13738">
        <w:rPr>
          <w:rFonts w:ascii="宋体" w:eastAsia="宋体" w:hAnsi="宋体" w:cs="Times New Roman" w:hint="eastAsia"/>
        </w:rPr>
        <w:t>㎡以上</w:t>
      </w:r>
      <w:r>
        <w:rPr>
          <w:rFonts w:ascii="宋体" w:eastAsia="宋体" w:hAnsi="宋体" w:cs="Times New Roman" w:hint="eastAsia"/>
        </w:rPr>
        <w:t>产品</w:t>
      </w:r>
      <w:r>
        <w:rPr>
          <w:rFonts w:ascii="宋体" w:eastAsia="宋体" w:hAnsi="宋体" w:cs="Times New Roman"/>
        </w:rPr>
        <w:t>或功能性缺失或总价</w:t>
      </w:r>
      <w:r>
        <w:rPr>
          <w:rFonts w:ascii="宋体" w:eastAsia="宋体" w:hAnsi="宋体" w:cs="Times New Roman" w:hint="eastAsia"/>
        </w:rPr>
        <w:t>偏高</w:t>
      </w:r>
      <w:r>
        <w:rPr>
          <w:rFonts w:ascii="宋体" w:eastAsia="宋体" w:hAnsi="宋体" w:cs="Times New Roman"/>
        </w:rPr>
        <w:t>，库存</w:t>
      </w:r>
      <w:r>
        <w:rPr>
          <w:rFonts w:ascii="宋体" w:eastAsia="宋体" w:hAnsi="宋体" w:cs="Times New Roman" w:hint="eastAsia"/>
        </w:rPr>
        <w:t>压力</w:t>
      </w:r>
      <w:r>
        <w:rPr>
          <w:rFonts w:ascii="宋体" w:eastAsia="宋体" w:hAnsi="宋体" w:cs="Times New Roman"/>
        </w:rPr>
        <w:t>犹存。</w:t>
      </w:r>
    </w:p>
    <w:p w14:paraId="3EF48789" w14:textId="2EAADFD8" w:rsidR="005562B3" w:rsidRDefault="005562B3" w:rsidP="005562B3">
      <w:pPr>
        <w:spacing w:line="440" w:lineRule="exact"/>
        <w:ind w:firstLineChars="200" w:firstLine="422"/>
        <w:rPr>
          <w:rFonts w:ascii="宋体" w:eastAsia="宋体" w:hAnsi="宋体" w:cs="Times New Roman"/>
        </w:rPr>
      </w:pPr>
      <w:r>
        <w:rPr>
          <w:rFonts w:ascii="宋体" w:eastAsia="宋体" w:hAnsi="宋体" w:cs="Times New Roman" w:hint="eastAsia"/>
          <w:b/>
        </w:rPr>
        <w:t>第五</w:t>
      </w:r>
      <w:r>
        <w:rPr>
          <w:rFonts w:ascii="宋体" w:eastAsia="宋体" w:hAnsi="宋体" w:cs="Times New Roman"/>
          <w:b/>
        </w:rPr>
        <w:t>，</w:t>
      </w:r>
      <w:r>
        <w:rPr>
          <w:rFonts w:ascii="宋体" w:eastAsia="宋体" w:hAnsi="宋体" w:cs="Times New Roman" w:hint="eastAsia"/>
          <w:b/>
        </w:rPr>
        <w:t>成都</w:t>
      </w:r>
      <w:r>
        <w:rPr>
          <w:rFonts w:ascii="宋体" w:eastAsia="宋体" w:hAnsi="宋体" w:cs="Times New Roman"/>
          <w:b/>
        </w:rPr>
        <w:t>、合肥等</w:t>
      </w:r>
      <w:r>
        <w:rPr>
          <w:rFonts w:ascii="宋体" w:eastAsia="宋体" w:hAnsi="宋体" w:cs="Times New Roman" w:hint="eastAsia"/>
          <w:b/>
        </w:rPr>
        <w:t>库存无虞</w:t>
      </w:r>
      <w:r>
        <w:rPr>
          <w:rFonts w:ascii="宋体" w:eastAsia="宋体" w:hAnsi="宋体" w:cs="Times New Roman"/>
          <w:b/>
        </w:rPr>
        <w:t>型。</w:t>
      </w:r>
      <w:r>
        <w:rPr>
          <w:rFonts w:ascii="宋体" w:eastAsia="宋体" w:hAnsi="宋体" w:cs="Times New Roman" w:hint="eastAsia"/>
        </w:rPr>
        <w:t>典型</w:t>
      </w:r>
      <w:r>
        <w:rPr>
          <w:rFonts w:ascii="宋体" w:eastAsia="宋体" w:hAnsi="宋体" w:cs="Times New Roman"/>
        </w:rPr>
        <w:t>如合肥，</w:t>
      </w:r>
      <w:r>
        <w:rPr>
          <w:rFonts w:ascii="宋体" w:eastAsia="宋体" w:hAnsi="宋体" w:cs="Times New Roman" w:hint="eastAsia"/>
        </w:rPr>
        <w:t>80</w:t>
      </w:r>
      <w:r w:rsidR="00F13738">
        <w:rPr>
          <w:rFonts w:ascii="宋体" w:eastAsia="宋体" w:hAnsi="宋体" w:cs="Times New Roman" w:hint="eastAsia"/>
        </w:rPr>
        <w:t>㎡</w:t>
      </w:r>
      <w:r>
        <w:rPr>
          <w:rFonts w:ascii="宋体" w:eastAsia="宋体" w:hAnsi="宋体" w:cs="Times New Roman"/>
        </w:rPr>
        <w:t>以上各个面积段的库存消化周期都在</w:t>
      </w:r>
      <w:r>
        <w:rPr>
          <w:rFonts w:ascii="宋体" w:eastAsia="宋体" w:hAnsi="宋体" w:cs="Times New Roman" w:hint="eastAsia"/>
        </w:rPr>
        <w:t>10个</w:t>
      </w:r>
      <w:r>
        <w:rPr>
          <w:rFonts w:ascii="宋体" w:eastAsia="宋体" w:hAnsi="宋体" w:cs="Times New Roman"/>
        </w:rPr>
        <w:t>月以内，</w:t>
      </w:r>
      <w:r>
        <w:rPr>
          <w:rFonts w:ascii="宋体" w:eastAsia="宋体" w:hAnsi="宋体" w:cs="Times New Roman" w:hint="eastAsia"/>
        </w:rPr>
        <w:t>120-140、140-160</w:t>
      </w:r>
      <w:r w:rsidR="00F13738">
        <w:rPr>
          <w:rFonts w:ascii="宋体" w:eastAsia="宋体" w:hAnsi="宋体" w:cs="Times New Roman" w:hint="eastAsia"/>
        </w:rPr>
        <w:t>㎡</w:t>
      </w:r>
      <w:r>
        <w:rPr>
          <w:rFonts w:ascii="宋体" w:eastAsia="宋体" w:hAnsi="宋体" w:cs="Times New Roman" w:hint="eastAsia"/>
        </w:rPr>
        <w:t>产品</w:t>
      </w:r>
      <w:r>
        <w:rPr>
          <w:rFonts w:ascii="宋体" w:eastAsia="宋体" w:hAnsi="宋体" w:cs="Times New Roman"/>
        </w:rPr>
        <w:t>库存更是接近出清，消化周期低于</w:t>
      </w:r>
      <w:r>
        <w:rPr>
          <w:rFonts w:ascii="宋体" w:eastAsia="宋体" w:hAnsi="宋体" w:cs="Times New Roman" w:hint="eastAsia"/>
        </w:rPr>
        <w:t>6个</w:t>
      </w:r>
      <w:r>
        <w:rPr>
          <w:rFonts w:ascii="宋体" w:eastAsia="宋体" w:hAnsi="宋体" w:cs="Times New Roman"/>
        </w:rPr>
        <w:t>月。</w:t>
      </w:r>
    </w:p>
    <w:p w14:paraId="460065B7" w14:textId="77777777" w:rsidR="005562B3" w:rsidRDefault="005562B3" w:rsidP="005562B3">
      <w:pPr>
        <w:spacing w:line="400" w:lineRule="exact"/>
        <w:jc w:val="center"/>
        <w:rPr>
          <w:rFonts w:ascii="宋体" w:eastAsia="宋体" w:hAnsi="宋体" w:cs="Times New Roman"/>
          <w:b/>
        </w:rPr>
      </w:pPr>
      <w:r>
        <w:rPr>
          <w:rFonts w:ascii="宋体" w:eastAsia="宋体" w:hAnsi="宋体" w:cs="Times New Roman" w:hint="eastAsia"/>
          <w:b/>
        </w:rPr>
        <w:t>表：2022年末典型</w:t>
      </w:r>
      <w:r>
        <w:rPr>
          <w:rFonts w:ascii="宋体" w:eastAsia="宋体" w:hAnsi="宋体" w:cs="Times New Roman"/>
          <w:b/>
        </w:rPr>
        <w:t>城市</w:t>
      </w:r>
      <w:r>
        <w:rPr>
          <w:rFonts w:ascii="宋体" w:eastAsia="宋体" w:hAnsi="宋体" w:cs="Times New Roman" w:hint="eastAsia"/>
          <w:b/>
        </w:rPr>
        <w:t>分面积</w:t>
      </w:r>
      <w:r>
        <w:rPr>
          <w:rFonts w:ascii="宋体" w:eastAsia="宋体" w:hAnsi="宋体" w:cs="Times New Roman"/>
          <w:b/>
        </w:rPr>
        <w:t>段</w:t>
      </w:r>
      <w:r>
        <w:rPr>
          <w:rFonts w:ascii="宋体" w:eastAsia="宋体" w:hAnsi="宋体" w:cs="Times New Roman" w:hint="eastAsia"/>
          <w:b/>
        </w:rPr>
        <w:t>狭义库存</w:t>
      </w:r>
      <w:r>
        <w:rPr>
          <w:rFonts w:ascii="宋体" w:eastAsia="宋体" w:hAnsi="宋体" w:cs="Times New Roman"/>
          <w:b/>
        </w:rPr>
        <w:t>消化周期（</w:t>
      </w:r>
      <w:r>
        <w:rPr>
          <w:rFonts w:ascii="宋体" w:eastAsia="宋体" w:hAnsi="宋体" w:cs="Times New Roman" w:hint="eastAsia"/>
          <w:b/>
        </w:rPr>
        <w:t>月</w:t>
      </w:r>
      <w:r>
        <w:rPr>
          <w:rFonts w:ascii="宋体" w:eastAsia="宋体" w:hAnsi="宋体" w:cs="Times New Roman"/>
          <w:b/>
        </w:rPr>
        <w:t>）</w:t>
      </w:r>
    </w:p>
    <w:tbl>
      <w:tblPr>
        <w:tblW w:w="10250" w:type="dxa"/>
        <w:jc w:val="center"/>
        <w:tblLook w:val="04A0" w:firstRow="1" w:lastRow="0" w:firstColumn="1" w:lastColumn="0" w:noHBand="0" w:noVBand="1"/>
      </w:tblPr>
      <w:tblGrid>
        <w:gridCol w:w="907"/>
        <w:gridCol w:w="940"/>
        <w:gridCol w:w="876"/>
        <w:gridCol w:w="850"/>
        <w:gridCol w:w="851"/>
        <w:gridCol w:w="850"/>
        <w:gridCol w:w="992"/>
        <w:gridCol w:w="1051"/>
        <w:gridCol w:w="992"/>
        <w:gridCol w:w="934"/>
        <w:gridCol w:w="1007"/>
      </w:tblGrid>
      <w:tr w:rsidR="005562B3" w14:paraId="2BFBAB94" w14:textId="77777777" w:rsidTr="00B44D37">
        <w:trPr>
          <w:trHeight w:val="270"/>
          <w:jc w:val="center"/>
        </w:trPr>
        <w:tc>
          <w:tcPr>
            <w:tcW w:w="907" w:type="dxa"/>
            <w:tcBorders>
              <w:top w:val="single" w:sz="4" w:space="0" w:color="auto"/>
              <w:left w:val="nil"/>
              <w:bottom w:val="single" w:sz="4" w:space="0" w:color="auto"/>
              <w:right w:val="single" w:sz="4" w:space="0" w:color="auto"/>
            </w:tcBorders>
            <w:shd w:val="clear" w:color="000000" w:fill="44A89A"/>
            <w:noWrap/>
            <w:vAlign w:val="center"/>
          </w:tcPr>
          <w:p w14:paraId="184AFA3F"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类别</w:t>
            </w:r>
          </w:p>
        </w:tc>
        <w:tc>
          <w:tcPr>
            <w:tcW w:w="940" w:type="dxa"/>
            <w:tcBorders>
              <w:top w:val="single" w:sz="4" w:space="0" w:color="auto"/>
              <w:left w:val="nil"/>
              <w:bottom w:val="single" w:sz="4" w:space="0" w:color="auto"/>
              <w:right w:val="single" w:sz="4" w:space="0" w:color="auto"/>
            </w:tcBorders>
            <w:shd w:val="clear" w:color="000000" w:fill="44A89A"/>
            <w:noWrap/>
            <w:vAlign w:val="center"/>
          </w:tcPr>
          <w:p w14:paraId="0F6EF16C"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城市</w:t>
            </w:r>
          </w:p>
        </w:tc>
        <w:tc>
          <w:tcPr>
            <w:tcW w:w="876" w:type="dxa"/>
            <w:tcBorders>
              <w:top w:val="single" w:sz="4" w:space="0" w:color="auto"/>
              <w:left w:val="nil"/>
              <w:bottom w:val="single" w:sz="4" w:space="0" w:color="auto"/>
              <w:right w:val="single" w:sz="4" w:space="0" w:color="auto"/>
            </w:tcBorders>
            <w:shd w:val="clear" w:color="000000" w:fill="44A89A"/>
            <w:noWrap/>
            <w:vAlign w:val="center"/>
          </w:tcPr>
          <w:p w14:paraId="2E3067FE"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70以下</w:t>
            </w:r>
          </w:p>
        </w:tc>
        <w:tc>
          <w:tcPr>
            <w:tcW w:w="850" w:type="dxa"/>
            <w:tcBorders>
              <w:top w:val="single" w:sz="4" w:space="0" w:color="auto"/>
              <w:left w:val="nil"/>
              <w:bottom w:val="single" w:sz="4" w:space="0" w:color="auto"/>
              <w:right w:val="single" w:sz="4" w:space="0" w:color="auto"/>
            </w:tcBorders>
            <w:shd w:val="clear" w:color="000000" w:fill="44A89A"/>
            <w:noWrap/>
            <w:vAlign w:val="center"/>
          </w:tcPr>
          <w:p w14:paraId="1212581D"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70-80</w:t>
            </w:r>
          </w:p>
        </w:tc>
        <w:tc>
          <w:tcPr>
            <w:tcW w:w="851" w:type="dxa"/>
            <w:tcBorders>
              <w:top w:val="single" w:sz="4" w:space="0" w:color="auto"/>
              <w:left w:val="nil"/>
              <w:bottom w:val="single" w:sz="4" w:space="0" w:color="auto"/>
              <w:right w:val="single" w:sz="4" w:space="0" w:color="auto"/>
            </w:tcBorders>
            <w:shd w:val="clear" w:color="000000" w:fill="44A89A"/>
            <w:noWrap/>
            <w:vAlign w:val="center"/>
          </w:tcPr>
          <w:p w14:paraId="64CB0608"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80-90</w:t>
            </w:r>
          </w:p>
        </w:tc>
        <w:tc>
          <w:tcPr>
            <w:tcW w:w="850" w:type="dxa"/>
            <w:tcBorders>
              <w:top w:val="single" w:sz="4" w:space="0" w:color="auto"/>
              <w:left w:val="nil"/>
              <w:bottom w:val="single" w:sz="4" w:space="0" w:color="auto"/>
              <w:right w:val="single" w:sz="4" w:space="0" w:color="auto"/>
            </w:tcBorders>
            <w:shd w:val="clear" w:color="000000" w:fill="44A89A"/>
            <w:noWrap/>
            <w:vAlign w:val="center"/>
          </w:tcPr>
          <w:p w14:paraId="5BB35545"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90-100</w:t>
            </w:r>
          </w:p>
        </w:tc>
        <w:tc>
          <w:tcPr>
            <w:tcW w:w="992" w:type="dxa"/>
            <w:tcBorders>
              <w:top w:val="single" w:sz="4" w:space="0" w:color="auto"/>
              <w:left w:val="nil"/>
              <w:bottom w:val="single" w:sz="4" w:space="0" w:color="auto"/>
              <w:right w:val="single" w:sz="4" w:space="0" w:color="auto"/>
            </w:tcBorders>
            <w:shd w:val="clear" w:color="000000" w:fill="44A89A"/>
            <w:noWrap/>
            <w:vAlign w:val="center"/>
          </w:tcPr>
          <w:p w14:paraId="09DB1548"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100-120</w:t>
            </w:r>
          </w:p>
        </w:tc>
        <w:tc>
          <w:tcPr>
            <w:tcW w:w="1051" w:type="dxa"/>
            <w:tcBorders>
              <w:top w:val="single" w:sz="4" w:space="0" w:color="auto"/>
              <w:left w:val="nil"/>
              <w:bottom w:val="single" w:sz="4" w:space="0" w:color="auto"/>
              <w:right w:val="single" w:sz="4" w:space="0" w:color="auto"/>
            </w:tcBorders>
            <w:shd w:val="clear" w:color="000000" w:fill="44A89A"/>
            <w:noWrap/>
            <w:vAlign w:val="center"/>
          </w:tcPr>
          <w:p w14:paraId="34CC1D22"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120-140</w:t>
            </w:r>
          </w:p>
        </w:tc>
        <w:tc>
          <w:tcPr>
            <w:tcW w:w="992" w:type="dxa"/>
            <w:tcBorders>
              <w:top w:val="single" w:sz="4" w:space="0" w:color="auto"/>
              <w:left w:val="nil"/>
              <w:bottom w:val="single" w:sz="4" w:space="0" w:color="auto"/>
              <w:right w:val="single" w:sz="4" w:space="0" w:color="auto"/>
            </w:tcBorders>
            <w:shd w:val="clear" w:color="000000" w:fill="44A89A"/>
            <w:noWrap/>
            <w:vAlign w:val="center"/>
          </w:tcPr>
          <w:p w14:paraId="1586811D"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140-160</w:t>
            </w:r>
          </w:p>
        </w:tc>
        <w:tc>
          <w:tcPr>
            <w:tcW w:w="934" w:type="dxa"/>
            <w:tcBorders>
              <w:top w:val="single" w:sz="4" w:space="0" w:color="auto"/>
              <w:left w:val="nil"/>
              <w:bottom w:val="single" w:sz="4" w:space="0" w:color="auto"/>
              <w:right w:val="single" w:sz="4" w:space="0" w:color="auto"/>
            </w:tcBorders>
            <w:shd w:val="clear" w:color="000000" w:fill="44A89A"/>
            <w:noWrap/>
            <w:vAlign w:val="center"/>
          </w:tcPr>
          <w:p w14:paraId="6413EE41"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160-180</w:t>
            </w:r>
          </w:p>
        </w:tc>
        <w:tc>
          <w:tcPr>
            <w:tcW w:w="1007" w:type="dxa"/>
            <w:tcBorders>
              <w:top w:val="single" w:sz="4" w:space="0" w:color="auto"/>
              <w:left w:val="nil"/>
              <w:bottom w:val="single" w:sz="4" w:space="0" w:color="auto"/>
              <w:right w:val="nil"/>
            </w:tcBorders>
            <w:shd w:val="clear" w:color="000000" w:fill="44A89A"/>
            <w:noWrap/>
            <w:vAlign w:val="center"/>
          </w:tcPr>
          <w:p w14:paraId="6BA820B5" w14:textId="77777777" w:rsidR="005562B3" w:rsidRDefault="005562B3" w:rsidP="00B44D37">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180以上</w:t>
            </w:r>
          </w:p>
        </w:tc>
      </w:tr>
      <w:tr w:rsidR="005562B3" w14:paraId="7765CD85" w14:textId="77777777" w:rsidTr="00B44D37">
        <w:trPr>
          <w:trHeight w:val="270"/>
          <w:jc w:val="center"/>
        </w:trPr>
        <w:tc>
          <w:tcPr>
            <w:tcW w:w="907" w:type="dxa"/>
            <w:vMerge w:val="restart"/>
            <w:tcBorders>
              <w:top w:val="nil"/>
              <w:left w:val="nil"/>
              <w:bottom w:val="single" w:sz="4" w:space="0" w:color="auto"/>
              <w:right w:val="single" w:sz="4" w:space="0" w:color="auto"/>
            </w:tcBorders>
            <w:shd w:val="clear" w:color="auto" w:fill="auto"/>
            <w:vAlign w:val="center"/>
          </w:tcPr>
          <w:p w14:paraId="70F20EED"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全面承压型</w:t>
            </w:r>
          </w:p>
        </w:tc>
        <w:tc>
          <w:tcPr>
            <w:tcW w:w="940" w:type="dxa"/>
            <w:tcBorders>
              <w:top w:val="nil"/>
              <w:left w:val="nil"/>
              <w:bottom w:val="single" w:sz="4" w:space="0" w:color="auto"/>
              <w:right w:val="single" w:sz="4" w:space="0" w:color="auto"/>
            </w:tcBorders>
            <w:shd w:val="clear" w:color="auto" w:fill="auto"/>
            <w:noWrap/>
            <w:vAlign w:val="center"/>
          </w:tcPr>
          <w:p w14:paraId="113382DA"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防城港</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02F9621"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140.6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C9F148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150.3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DE457A4"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117.8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C02FE73"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113.0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19E873BF"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91.8 </w:t>
            </w:r>
          </w:p>
        </w:tc>
        <w:tc>
          <w:tcPr>
            <w:tcW w:w="10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5AD2482"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56.5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E5E329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158.5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EC7C0D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117.9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303EE1B6"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342.5 </w:t>
            </w:r>
          </w:p>
        </w:tc>
      </w:tr>
      <w:tr w:rsidR="005562B3" w14:paraId="529DFF18"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178A4F52"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3011B4C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北海</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2506A9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94.9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216F7B4"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73.7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6299918"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57.3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14E30C5B"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89.3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55DC258"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54.0 </w:t>
            </w:r>
          </w:p>
        </w:tc>
        <w:tc>
          <w:tcPr>
            <w:tcW w:w="10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8F5882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34.0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E75265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52.6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F4DDB0F"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41.2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78D9B26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521.3 </w:t>
            </w:r>
          </w:p>
        </w:tc>
      </w:tr>
      <w:tr w:rsidR="005562B3" w14:paraId="3831477E"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1250284B"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2826804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哈尔滨</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81475D1"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197.1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3F8B215"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50.9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26D4C3B2"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36.1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B644513"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50.8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0BAD9B2"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48.2 </w:t>
            </w:r>
          </w:p>
        </w:tc>
        <w:tc>
          <w:tcPr>
            <w:tcW w:w="10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B3E5BCD"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51.3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2254B505"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97.6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26B149B9"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76.5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7A660DED"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116.9 </w:t>
            </w:r>
          </w:p>
        </w:tc>
      </w:tr>
      <w:tr w:rsidR="005562B3" w14:paraId="6514888D"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55907321"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219DA855"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兰州</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84F9B92"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183.4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1100FF2"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106.5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040A3EF"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63.7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ADDECA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60.3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ECD956A"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46.0 </w:t>
            </w:r>
          </w:p>
        </w:tc>
        <w:tc>
          <w:tcPr>
            <w:tcW w:w="10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2FEA0B4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60.4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0BF81BA"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62.3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DE09BBC"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72.1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7CC322A1"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37.5 </w:t>
            </w:r>
          </w:p>
        </w:tc>
      </w:tr>
      <w:tr w:rsidR="005562B3" w14:paraId="000AABBD"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5FC7720C"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016F14A0"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梅州</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1D76DE92" w14:textId="26C71B0D"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37.3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445537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106.5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229FEC10"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67.8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C2FEC3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32.5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585E1FC"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39.8 </w:t>
            </w:r>
          </w:p>
        </w:tc>
        <w:tc>
          <w:tcPr>
            <w:tcW w:w="10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C3B3884"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38.7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6F41419"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40.6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CB3A506"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77.8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72CEBBE1"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60.1 </w:t>
            </w:r>
          </w:p>
        </w:tc>
      </w:tr>
      <w:tr w:rsidR="005562B3" w14:paraId="38BE6752" w14:textId="77777777" w:rsidTr="00B44D37">
        <w:trPr>
          <w:trHeight w:val="270"/>
          <w:jc w:val="center"/>
        </w:trPr>
        <w:tc>
          <w:tcPr>
            <w:tcW w:w="907" w:type="dxa"/>
            <w:vMerge w:val="restart"/>
            <w:tcBorders>
              <w:top w:val="nil"/>
              <w:left w:val="nil"/>
              <w:bottom w:val="single" w:sz="4" w:space="0" w:color="auto"/>
              <w:right w:val="single" w:sz="4" w:space="0" w:color="auto"/>
            </w:tcBorders>
            <w:shd w:val="clear" w:color="auto" w:fill="auto"/>
            <w:vAlign w:val="center"/>
          </w:tcPr>
          <w:p w14:paraId="346B3506"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刚需产品承压型</w:t>
            </w:r>
          </w:p>
        </w:tc>
        <w:tc>
          <w:tcPr>
            <w:tcW w:w="940" w:type="dxa"/>
            <w:tcBorders>
              <w:top w:val="nil"/>
              <w:left w:val="nil"/>
              <w:bottom w:val="single" w:sz="4" w:space="0" w:color="auto"/>
              <w:right w:val="single" w:sz="4" w:space="0" w:color="auto"/>
            </w:tcBorders>
            <w:shd w:val="clear" w:color="auto" w:fill="auto"/>
            <w:noWrap/>
            <w:vAlign w:val="center"/>
          </w:tcPr>
          <w:p w14:paraId="0FDDE5F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嘉兴</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ECC4AD0" w14:textId="1E86D82D"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274.5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E5EE0BC"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57.8 </w:t>
            </w:r>
          </w:p>
        </w:tc>
        <w:tc>
          <w:tcPr>
            <w:tcW w:w="851" w:type="dxa"/>
            <w:tcBorders>
              <w:top w:val="nil"/>
              <w:left w:val="nil"/>
              <w:bottom w:val="single" w:sz="4" w:space="0" w:color="auto"/>
              <w:right w:val="single" w:sz="4" w:space="0" w:color="auto"/>
            </w:tcBorders>
            <w:shd w:val="clear" w:color="auto" w:fill="auto"/>
            <w:noWrap/>
            <w:vAlign w:val="center"/>
          </w:tcPr>
          <w:p w14:paraId="68E0579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16.6 </w:t>
            </w:r>
          </w:p>
        </w:tc>
        <w:tc>
          <w:tcPr>
            <w:tcW w:w="850" w:type="dxa"/>
            <w:tcBorders>
              <w:top w:val="nil"/>
              <w:left w:val="nil"/>
              <w:bottom w:val="single" w:sz="4" w:space="0" w:color="auto"/>
              <w:right w:val="single" w:sz="4" w:space="0" w:color="auto"/>
            </w:tcBorders>
            <w:shd w:val="clear" w:color="auto" w:fill="auto"/>
            <w:noWrap/>
            <w:vAlign w:val="center"/>
          </w:tcPr>
          <w:p w14:paraId="018D777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19.7 </w:t>
            </w:r>
          </w:p>
        </w:tc>
        <w:tc>
          <w:tcPr>
            <w:tcW w:w="992" w:type="dxa"/>
            <w:tcBorders>
              <w:top w:val="nil"/>
              <w:left w:val="nil"/>
              <w:bottom w:val="single" w:sz="4" w:space="0" w:color="auto"/>
              <w:right w:val="single" w:sz="4" w:space="0" w:color="auto"/>
            </w:tcBorders>
            <w:shd w:val="clear" w:color="auto" w:fill="auto"/>
            <w:noWrap/>
            <w:vAlign w:val="center"/>
          </w:tcPr>
          <w:p w14:paraId="2B2D569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14.9 </w:t>
            </w:r>
          </w:p>
        </w:tc>
        <w:tc>
          <w:tcPr>
            <w:tcW w:w="1051" w:type="dxa"/>
            <w:tcBorders>
              <w:top w:val="nil"/>
              <w:left w:val="nil"/>
              <w:bottom w:val="single" w:sz="4" w:space="0" w:color="auto"/>
              <w:right w:val="single" w:sz="4" w:space="0" w:color="auto"/>
            </w:tcBorders>
            <w:shd w:val="clear" w:color="auto" w:fill="auto"/>
            <w:noWrap/>
            <w:vAlign w:val="center"/>
          </w:tcPr>
          <w:p w14:paraId="055ECAF4"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18.0 </w:t>
            </w:r>
          </w:p>
        </w:tc>
        <w:tc>
          <w:tcPr>
            <w:tcW w:w="992" w:type="dxa"/>
            <w:tcBorders>
              <w:top w:val="nil"/>
              <w:left w:val="nil"/>
              <w:bottom w:val="single" w:sz="4" w:space="0" w:color="auto"/>
              <w:right w:val="single" w:sz="4" w:space="0" w:color="auto"/>
            </w:tcBorders>
            <w:shd w:val="clear" w:color="auto" w:fill="auto"/>
            <w:noWrap/>
            <w:vAlign w:val="center"/>
          </w:tcPr>
          <w:p w14:paraId="209C9C3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16.4 </w:t>
            </w:r>
          </w:p>
        </w:tc>
        <w:tc>
          <w:tcPr>
            <w:tcW w:w="934" w:type="dxa"/>
            <w:tcBorders>
              <w:top w:val="nil"/>
              <w:left w:val="nil"/>
              <w:bottom w:val="single" w:sz="4" w:space="0" w:color="auto"/>
              <w:right w:val="single" w:sz="4" w:space="0" w:color="auto"/>
            </w:tcBorders>
            <w:shd w:val="clear" w:color="auto" w:fill="auto"/>
            <w:noWrap/>
            <w:vAlign w:val="center"/>
          </w:tcPr>
          <w:p w14:paraId="3320BFB5"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9.4 </w:t>
            </w:r>
          </w:p>
        </w:tc>
        <w:tc>
          <w:tcPr>
            <w:tcW w:w="1007" w:type="dxa"/>
            <w:tcBorders>
              <w:top w:val="nil"/>
              <w:left w:val="nil"/>
              <w:bottom w:val="single" w:sz="4" w:space="0" w:color="auto"/>
              <w:right w:val="nil"/>
            </w:tcBorders>
            <w:shd w:val="clear" w:color="auto" w:fill="auto"/>
            <w:noWrap/>
            <w:vAlign w:val="center"/>
          </w:tcPr>
          <w:p w14:paraId="0A6751E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13.9 </w:t>
            </w:r>
          </w:p>
        </w:tc>
      </w:tr>
      <w:tr w:rsidR="005562B3" w14:paraId="3224783B"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7B8E86CB"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25D625B7" w14:textId="77777777" w:rsidR="005562B3" w:rsidRPr="00683718" w:rsidRDefault="005562B3" w:rsidP="00B44D37">
            <w:pPr>
              <w:widowControl/>
              <w:jc w:val="center"/>
              <w:rPr>
                <w:rFonts w:ascii="宋体" w:eastAsia="宋体" w:hAnsi="宋体" w:cs="宋体"/>
                <w:color w:val="000000"/>
                <w:kern w:val="0"/>
                <w:sz w:val="20"/>
                <w:szCs w:val="20"/>
              </w:rPr>
            </w:pPr>
            <w:r w:rsidRPr="00683718">
              <w:rPr>
                <w:rFonts w:ascii="宋体" w:eastAsia="宋体" w:hAnsi="宋体" w:cs="宋体" w:hint="eastAsia"/>
                <w:color w:val="000000"/>
                <w:kern w:val="0"/>
                <w:sz w:val="20"/>
                <w:szCs w:val="20"/>
              </w:rPr>
              <w:t>云浮</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23719CA6" w14:textId="77777777" w:rsidR="005562B3" w:rsidRPr="00683718" w:rsidRDefault="005562B3" w:rsidP="00B44D37">
            <w:pPr>
              <w:widowControl/>
              <w:jc w:val="center"/>
              <w:rPr>
                <w:rFonts w:ascii="宋体" w:eastAsia="宋体" w:hAnsi="宋体" w:cs="宋体"/>
                <w:color w:val="9C0006"/>
                <w:kern w:val="0"/>
                <w:sz w:val="20"/>
                <w:szCs w:val="20"/>
              </w:rPr>
            </w:pPr>
            <w:r w:rsidRPr="00683718">
              <w:rPr>
                <w:rFonts w:ascii="宋体" w:eastAsia="宋体" w:hAnsi="宋体" w:cs="宋体" w:hint="eastAsia"/>
                <w:color w:val="9C0006"/>
                <w:kern w:val="0"/>
                <w:sz w:val="20"/>
                <w:szCs w:val="20"/>
              </w:rPr>
              <w:t>34.20</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58934480" w14:textId="77777777" w:rsidR="005562B3" w:rsidRPr="00683718" w:rsidRDefault="005562B3" w:rsidP="00B44D37">
            <w:pPr>
              <w:widowControl/>
              <w:jc w:val="center"/>
              <w:rPr>
                <w:rFonts w:ascii="宋体" w:eastAsia="宋体" w:hAnsi="宋体" w:cs="宋体"/>
                <w:color w:val="9C0006"/>
                <w:kern w:val="0"/>
                <w:sz w:val="20"/>
                <w:szCs w:val="20"/>
              </w:rPr>
            </w:pPr>
            <w:r w:rsidRPr="00683718">
              <w:rPr>
                <w:rFonts w:ascii="宋体" w:eastAsia="宋体" w:hAnsi="宋体" w:cs="宋体" w:hint="eastAsia"/>
                <w:color w:val="9C0006"/>
                <w:kern w:val="0"/>
                <w:sz w:val="20"/>
                <w:szCs w:val="20"/>
              </w:rPr>
              <w:t>45.85</w:t>
            </w:r>
          </w:p>
        </w:tc>
        <w:tc>
          <w:tcPr>
            <w:tcW w:w="851" w:type="dxa"/>
            <w:tcBorders>
              <w:top w:val="nil"/>
              <w:left w:val="nil"/>
              <w:bottom w:val="single" w:sz="4" w:space="0" w:color="auto"/>
              <w:right w:val="single" w:sz="4" w:space="0" w:color="auto"/>
            </w:tcBorders>
            <w:shd w:val="clear" w:color="auto" w:fill="auto"/>
            <w:noWrap/>
            <w:vAlign w:val="bottom"/>
          </w:tcPr>
          <w:p w14:paraId="24B7C52F" w14:textId="77777777" w:rsidR="005562B3" w:rsidRPr="00683718" w:rsidRDefault="005562B3" w:rsidP="00B44D37">
            <w:pPr>
              <w:jc w:val="center"/>
              <w:rPr>
                <w:rFonts w:ascii="宋体" w:eastAsia="宋体" w:hAnsi="宋体" w:cs="宋体"/>
                <w:color w:val="000000"/>
                <w:kern w:val="0"/>
                <w:sz w:val="20"/>
                <w:szCs w:val="20"/>
              </w:rPr>
            </w:pPr>
            <w:r w:rsidRPr="00683718">
              <w:rPr>
                <w:rFonts w:ascii="宋体" w:eastAsia="宋体" w:hAnsi="宋体" w:cs="宋体" w:hint="eastAsia"/>
                <w:color w:val="000000"/>
                <w:kern w:val="0"/>
                <w:sz w:val="20"/>
                <w:szCs w:val="20"/>
              </w:rPr>
              <w:t>26.86</w:t>
            </w:r>
          </w:p>
        </w:tc>
        <w:tc>
          <w:tcPr>
            <w:tcW w:w="850" w:type="dxa"/>
            <w:tcBorders>
              <w:top w:val="nil"/>
              <w:left w:val="nil"/>
              <w:bottom w:val="single" w:sz="4" w:space="0" w:color="auto"/>
              <w:right w:val="single" w:sz="4" w:space="0" w:color="auto"/>
            </w:tcBorders>
            <w:shd w:val="clear" w:color="auto" w:fill="auto"/>
            <w:noWrap/>
            <w:vAlign w:val="bottom"/>
          </w:tcPr>
          <w:p w14:paraId="39145805" w14:textId="77777777" w:rsidR="005562B3" w:rsidRPr="00683718" w:rsidRDefault="005562B3" w:rsidP="00B44D37">
            <w:pPr>
              <w:jc w:val="center"/>
              <w:rPr>
                <w:rFonts w:ascii="宋体" w:eastAsia="宋体" w:hAnsi="宋体" w:cs="宋体"/>
                <w:color w:val="000000"/>
                <w:kern w:val="0"/>
                <w:sz w:val="20"/>
                <w:szCs w:val="20"/>
              </w:rPr>
            </w:pPr>
            <w:r w:rsidRPr="00683718">
              <w:rPr>
                <w:rFonts w:ascii="宋体" w:eastAsia="宋体" w:hAnsi="宋体" w:cs="宋体" w:hint="eastAsia"/>
                <w:color w:val="000000"/>
                <w:kern w:val="0"/>
                <w:sz w:val="20"/>
                <w:szCs w:val="20"/>
              </w:rPr>
              <w:t>26.32</w:t>
            </w:r>
          </w:p>
        </w:tc>
        <w:tc>
          <w:tcPr>
            <w:tcW w:w="992" w:type="dxa"/>
            <w:tcBorders>
              <w:top w:val="nil"/>
              <w:left w:val="nil"/>
              <w:bottom w:val="single" w:sz="4" w:space="0" w:color="auto"/>
              <w:right w:val="single" w:sz="4" w:space="0" w:color="auto"/>
            </w:tcBorders>
            <w:shd w:val="clear" w:color="auto" w:fill="auto"/>
            <w:noWrap/>
            <w:vAlign w:val="bottom"/>
          </w:tcPr>
          <w:p w14:paraId="5C817747" w14:textId="77777777" w:rsidR="005562B3" w:rsidRPr="00683718" w:rsidRDefault="005562B3" w:rsidP="00B44D37">
            <w:pPr>
              <w:jc w:val="center"/>
              <w:rPr>
                <w:rFonts w:ascii="宋体" w:eastAsia="宋体" w:hAnsi="宋体" w:cs="宋体"/>
                <w:color w:val="000000"/>
                <w:kern w:val="0"/>
                <w:sz w:val="20"/>
                <w:szCs w:val="20"/>
              </w:rPr>
            </w:pPr>
            <w:r w:rsidRPr="00683718">
              <w:rPr>
                <w:rFonts w:ascii="宋体" w:eastAsia="宋体" w:hAnsi="宋体" w:cs="宋体" w:hint="eastAsia"/>
                <w:color w:val="000000"/>
                <w:kern w:val="0"/>
                <w:sz w:val="20"/>
                <w:szCs w:val="20"/>
              </w:rPr>
              <w:t>19.76</w:t>
            </w:r>
          </w:p>
        </w:tc>
        <w:tc>
          <w:tcPr>
            <w:tcW w:w="1051" w:type="dxa"/>
            <w:tcBorders>
              <w:top w:val="nil"/>
              <w:left w:val="nil"/>
              <w:bottom w:val="single" w:sz="4" w:space="0" w:color="auto"/>
              <w:right w:val="single" w:sz="4" w:space="0" w:color="auto"/>
            </w:tcBorders>
            <w:shd w:val="clear" w:color="auto" w:fill="auto"/>
            <w:noWrap/>
            <w:vAlign w:val="bottom"/>
          </w:tcPr>
          <w:p w14:paraId="6DC9D939" w14:textId="77777777" w:rsidR="005562B3" w:rsidRPr="00683718" w:rsidRDefault="005562B3" w:rsidP="00B44D37">
            <w:pPr>
              <w:jc w:val="center"/>
              <w:rPr>
                <w:rFonts w:ascii="宋体" w:eastAsia="宋体" w:hAnsi="宋体" w:cs="宋体"/>
                <w:color w:val="000000"/>
                <w:kern w:val="0"/>
                <w:sz w:val="20"/>
                <w:szCs w:val="20"/>
              </w:rPr>
            </w:pPr>
            <w:r w:rsidRPr="00683718">
              <w:rPr>
                <w:rFonts w:ascii="宋体" w:eastAsia="宋体" w:hAnsi="宋体" w:cs="宋体" w:hint="eastAsia"/>
                <w:color w:val="000000"/>
                <w:kern w:val="0"/>
                <w:sz w:val="20"/>
                <w:szCs w:val="20"/>
              </w:rPr>
              <w:t>13.85</w:t>
            </w:r>
          </w:p>
        </w:tc>
        <w:tc>
          <w:tcPr>
            <w:tcW w:w="992" w:type="dxa"/>
            <w:tcBorders>
              <w:top w:val="nil"/>
              <w:left w:val="nil"/>
              <w:bottom w:val="single" w:sz="4" w:space="0" w:color="auto"/>
              <w:right w:val="single" w:sz="4" w:space="0" w:color="auto"/>
            </w:tcBorders>
            <w:shd w:val="clear" w:color="auto" w:fill="auto"/>
            <w:noWrap/>
            <w:vAlign w:val="bottom"/>
          </w:tcPr>
          <w:p w14:paraId="739F5844" w14:textId="77777777" w:rsidR="005562B3" w:rsidRPr="00683718" w:rsidRDefault="005562B3" w:rsidP="00B44D37">
            <w:pPr>
              <w:jc w:val="center"/>
              <w:rPr>
                <w:rFonts w:ascii="宋体" w:eastAsia="宋体" w:hAnsi="宋体" w:cs="宋体"/>
                <w:color w:val="000000"/>
                <w:kern w:val="0"/>
                <w:sz w:val="20"/>
                <w:szCs w:val="20"/>
              </w:rPr>
            </w:pPr>
            <w:r w:rsidRPr="00683718">
              <w:rPr>
                <w:rFonts w:ascii="宋体" w:eastAsia="宋体" w:hAnsi="宋体" w:cs="宋体" w:hint="eastAsia"/>
                <w:color w:val="000000"/>
                <w:kern w:val="0"/>
                <w:sz w:val="20"/>
                <w:szCs w:val="20"/>
              </w:rPr>
              <w:t>14.35</w:t>
            </w:r>
          </w:p>
        </w:tc>
        <w:tc>
          <w:tcPr>
            <w:tcW w:w="934" w:type="dxa"/>
            <w:tcBorders>
              <w:top w:val="nil"/>
              <w:left w:val="nil"/>
              <w:bottom w:val="single" w:sz="4" w:space="0" w:color="auto"/>
              <w:right w:val="single" w:sz="4" w:space="0" w:color="auto"/>
            </w:tcBorders>
            <w:shd w:val="clear" w:color="auto" w:fill="auto"/>
            <w:noWrap/>
            <w:vAlign w:val="bottom"/>
          </w:tcPr>
          <w:p w14:paraId="430A0C95" w14:textId="77777777" w:rsidR="005562B3" w:rsidRPr="00683718" w:rsidRDefault="005562B3" w:rsidP="00B44D37">
            <w:pPr>
              <w:jc w:val="center"/>
              <w:rPr>
                <w:rFonts w:ascii="宋体" w:eastAsia="宋体" w:hAnsi="宋体" w:cs="宋体"/>
                <w:color w:val="000000"/>
                <w:kern w:val="0"/>
                <w:sz w:val="20"/>
                <w:szCs w:val="20"/>
              </w:rPr>
            </w:pPr>
            <w:r w:rsidRPr="00683718">
              <w:rPr>
                <w:rFonts w:ascii="宋体" w:eastAsia="宋体" w:hAnsi="宋体" w:cs="宋体" w:hint="eastAsia"/>
                <w:color w:val="000000"/>
                <w:kern w:val="0"/>
                <w:sz w:val="20"/>
                <w:szCs w:val="20"/>
              </w:rPr>
              <w:t>17.38</w:t>
            </w:r>
          </w:p>
        </w:tc>
        <w:tc>
          <w:tcPr>
            <w:tcW w:w="1007" w:type="dxa"/>
            <w:tcBorders>
              <w:top w:val="nil"/>
              <w:left w:val="nil"/>
              <w:bottom w:val="single" w:sz="4" w:space="0" w:color="auto"/>
              <w:right w:val="nil"/>
            </w:tcBorders>
            <w:shd w:val="clear" w:color="auto" w:fill="FFC7CE"/>
            <w:noWrap/>
            <w:vAlign w:val="bottom"/>
          </w:tcPr>
          <w:p w14:paraId="73918EE9" w14:textId="77777777" w:rsidR="005562B3" w:rsidRPr="00683718" w:rsidRDefault="005562B3" w:rsidP="00B44D37">
            <w:pPr>
              <w:widowControl/>
              <w:jc w:val="center"/>
              <w:rPr>
                <w:rFonts w:ascii="宋体" w:eastAsia="宋体" w:hAnsi="宋体" w:cs="宋体"/>
                <w:color w:val="9C0006"/>
                <w:kern w:val="0"/>
                <w:sz w:val="20"/>
                <w:szCs w:val="20"/>
              </w:rPr>
            </w:pPr>
            <w:r w:rsidRPr="00683718">
              <w:rPr>
                <w:rFonts w:ascii="宋体" w:eastAsia="宋体" w:hAnsi="宋体" w:cs="宋体" w:hint="eastAsia"/>
                <w:color w:val="9C0006"/>
                <w:kern w:val="0"/>
                <w:sz w:val="20"/>
                <w:szCs w:val="20"/>
              </w:rPr>
              <w:t>43.34</w:t>
            </w:r>
          </w:p>
        </w:tc>
      </w:tr>
      <w:tr w:rsidR="005562B3" w14:paraId="32C1AC23"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3C254560"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7CE35AD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徐州</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9204085"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73.2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25580F80"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73.9 </w:t>
            </w:r>
          </w:p>
        </w:tc>
        <w:tc>
          <w:tcPr>
            <w:tcW w:w="851" w:type="dxa"/>
            <w:tcBorders>
              <w:top w:val="nil"/>
              <w:left w:val="nil"/>
              <w:bottom w:val="single" w:sz="4" w:space="0" w:color="auto"/>
              <w:right w:val="single" w:sz="4" w:space="0" w:color="auto"/>
            </w:tcBorders>
            <w:shd w:val="clear" w:color="auto" w:fill="auto"/>
            <w:noWrap/>
            <w:vAlign w:val="center"/>
          </w:tcPr>
          <w:p w14:paraId="3E576B88"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29.2 </w:t>
            </w:r>
          </w:p>
        </w:tc>
        <w:tc>
          <w:tcPr>
            <w:tcW w:w="850" w:type="dxa"/>
            <w:tcBorders>
              <w:top w:val="nil"/>
              <w:left w:val="nil"/>
              <w:bottom w:val="single" w:sz="4" w:space="0" w:color="auto"/>
              <w:right w:val="single" w:sz="4" w:space="0" w:color="auto"/>
            </w:tcBorders>
            <w:shd w:val="clear" w:color="auto" w:fill="auto"/>
            <w:noWrap/>
            <w:vAlign w:val="center"/>
          </w:tcPr>
          <w:p w14:paraId="3AC5059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29.3 </w:t>
            </w:r>
          </w:p>
        </w:tc>
        <w:tc>
          <w:tcPr>
            <w:tcW w:w="992" w:type="dxa"/>
            <w:tcBorders>
              <w:top w:val="nil"/>
              <w:left w:val="nil"/>
              <w:bottom w:val="single" w:sz="4" w:space="0" w:color="auto"/>
              <w:right w:val="single" w:sz="4" w:space="0" w:color="auto"/>
            </w:tcBorders>
            <w:shd w:val="clear" w:color="auto" w:fill="auto"/>
            <w:noWrap/>
            <w:vAlign w:val="center"/>
          </w:tcPr>
          <w:p w14:paraId="3373584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17.8 </w:t>
            </w:r>
          </w:p>
        </w:tc>
        <w:tc>
          <w:tcPr>
            <w:tcW w:w="1051" w:type="dxa"/>
            <w:tcBorders>
              <w:top w:val="nil"/>
              <w:left w:val="nil"/>
              <w:bottom w:val="single" w:sz="4" w:space="0" w:color="auto"/>
              <w:right w:val="single" w:sz="4" w:space="0" w:color="auto"/>
            </w:tcBorders>
            <w:shd w:val="clear" w:color="auto" w:fill="auto"/>
            <w:noWrap/>
            <w:vAlign w:val="center"/>
          </w:tcPr>
          <w:p w14:paraId="6B0D818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17.7 </w:t>
            </w:r>
          </w:p>
        </w:tc>
        <w:tc>
          <w:tcPr>
            <w:tcW w:w="992" w:type="dxa"/>
            <w:tcBorders>
              <w:top w:val="nil"/>
              <w:left w:val="nil"/>
              <w:bottom w:val="single" w:sz="4" w:space="0" w:color="auto"/>
              <w:right w:val="single" w:sz="4" w:space="0" w:color="auto"/>
            </w:tcBorders>
            <w:shd w:val="clear" w:color="auto" w:fill="auto"/>
            <w:noWrap/>
            <w:vAlign w:val="center"/>
          </w:tcPr>
          <w:p w14:paraId="002E7ED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18.0 </w:t>
            </w:r>
          </w:p>
        </w:tc>
        <w:tc>
          <w:tcPr>
            <w:tcW w:w="934" w:type="dxa"/>
            <w:tcBorders>
              <w:top w:val="nil"/>
              <w:left w:val="nil"/>
              <w:bottom w:val="single" w:sz="4" w:space="0" w:color="auto"/>
              <w:right w:val="single" w:sz="4" w:space="0" w:color="auto"/>
            </w:tcBorders>
            <w:shd w:val="clear" w:color="auto" w:fill="auto"/>
            <w:noWrap/>
            <w:vAlign w:val="center"/>
          </w:tcPr>
          <w:p w14:paraId="12C5E34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20.1 </w:t>
            </w:r>
          </w:p>
        </w:tc>
        <w:tc>
          <w:tcPr>
            <w:tcW w:w="1007" w:type="dxa"/>
            <w:tcBorders>
              <w:top w:val="nil"/>
              <w:left w:val="nil"/>
              <w:bottom w:val="single" w:sz="4" w:space="0" w:color="auto"/>
              <w:right w:val="nil"/>
            </w:tcBorders>
            <w:shd w:val="clear" w:color="auto" w:fill="auto"/>
            <w:noWrap/>
            <w:vAlign w:val="center"/>
          </w:tcPr>
          <w:p w14:paraId="4CAD6327"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25.8 </w:t>
            </w:r>
          </w:p>
        </w:tc>
      </w:tr>
      <w:tr w:rsidR="005562B3" w14:paraId="22D14038"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4AF58604"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4823365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六安</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9E8C795"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109.1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23D4B09"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139.3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474830B"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98.6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4D4109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104.8 </w:t>
            </w:r>
          </w:p>
        </w:tc>
        <w:tc>
          <w:tcPr>
            <w:tcW w:w="992" w:type="dxa"/>
            <w:tcBorders>
              <w:top w:val="nil"/>
              <w:left w:val="nil"/>
              <w:bottom w:val="single" w:sz="4" w:space="0" w:color="auto"/>
              <w:right w:val="single" w:sz="4" w:space="0" w:color="auto"/>
            </w:tcBorders>
            <w:shd w:val="clear" w:color="auto" w:fill="auto"/>
            <w:noWrap/>
            <w:vAlign w:val="center"/>
          </w:tcPr>
          <w:p w14:paraId="168E4C27"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21.3 </w:t>
            </w:r>
          </w:p>
        </w:tc>
        <w:tc>
          <w:tcPr>
            <w:tcW w:w="1051" w:type="dxa"/>
            <w:tcBorders>
              <w:top w:val="nil"/>
              <w:left w:val="nil"/>
              <w:bottom w:val="single" w:sz="4" w:space="0" w:color="auto"/>
              <w:right w:val="single" w:sz="4" w:space="0" w:color="auto"/>
            </w:tcBorders>
            <w:shd w:val="clear" w:color="auto" w:fill="auto"/>
            <w:noWrap/>
            <w:vAlign w:val="center"/>
          </w:tcPr>
          <w:p w14:paraId="6C0C23F8"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15.2 </w:t>
            </w:r>
          </w:p>
        </w:tc>
        <w:tc>
          <w:tcPr>
            <w:tcW w:w="992" w:type="dxa"/>
            <w:tcBorders>
              <w:top w:val="nil"/>
              <w:left w:val="nil"/>
              <w:bottom w:val="single" w:sz="4" w:space="0" w:color="auto"/>
              <w:right w:val="single" w:sz="4" w:space="0" w:color="auto"/>
            </w:tcBorders>
            <w:shd w:val="clear" w:color="auto" w:fill="auto"/>
            <w:noWrap/>
            <w:vAlign w:val="center"/>
          </w:tcPr>
          <w:p w14:paraId="28CCDCF4"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12.3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64539DB"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32.1 </w:t>
            </w:r>
          </w:p>
        </w:tc>
        <w:tc>
          <w:tcPr>
            <w:tcW w:w="1007" w:type="dxa"/>
            <w:tcBorders>
              <w:top w:val="nil"/>
              <w:left w:val="nil"/>
              <w:bottom w:val="single" w:sz="4" w:space="0" w:color="auto"/>
              <w:right w:val="nil"/>
            </w:tcBorders>
            <w:shd w:val="clear" w:color="auto" w:fill="auto"/>
            <w:noWrap/>
            <w:vAlign w:val="center"/>
          </w:tcPr>
          <w:p w14:paraId="38C96FC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15.2 </w:t>
            </w:r>
          </w:p>
        </w:tc>
      </w:tr>
      <w:tr w:rsidR="005562B3" w14:paraId="0645A484"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5099568C"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259A072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平顶山</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2111829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85.8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7CCAF41"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101.3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26C31DF"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34.0 </w:t>
            </w:r>
          </w:p>
        </w:tc>
        <w:tc>
          <w:tcPr>
            <w:tcW w:w="850" w:type="dxa"/>
            <w:tcBorders>
              <w:top w:val="nil"/>
              <w:left w:val="nil"/>
              <w:bottom w:val="single" w:sz="4" w:space="0" w:color="auto"/>
              <w:right w:val="single" w:sz="4" w:space="0" w:color="auto"/>
            </w:tcBorders>
            <w:shd w:val="clear" w:color="auto" w:fill="auto"/>
            <w:noWrap/>
            <w:vAlign w:val="center"/>
          </w:tcPr>
          <w:p w14:paraId="4BC2090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15.8 </w:t>
            </w:r>
          </w:p>
        </w:tc>
        <w:tc>
          <w:tcPr>
            <w:tcW w:w="992" w:type="dxa"/>
            <w:tcBorders>
              <w:top w:val="nil"/>
              <w:left w:val="nil"/>
              <w:bottom w:val="single" w:sz="4" w:space="0" w:color="auto"/>
              <w:right w:val="single" w:sz="4" w:space="0" w:color="auto"/>
            </w:tcBorders>
            <w:shd w:val="clear" w:color="auto" w:fill="auto"/>
            <w:noWrap/>
            <w:vAlign w:val="center"/>
          </w:tcPr>
          <w:p w14:paraId="6DE07920"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18.2 </w:t>
            </w:r>
          </w:p>
        </w:tc>
        <w:tc>
          <w:tcPr>
            <w:tcW w:w="1051" w:type="dxa"/>
            <w:tcBorders>
              <w:top w:val="nil"/>
              <w:left w:val="nil"/>
              <w:bottom w:val="single" w:sz="4" w:space="0" w:color="auto"/>
              <w:right w:val="single" w:sz="4" w:space="0" w:color="auto"/>
            </w:tcBorders>
            <w:shd w:val="clear" w:color="auto" w:fill="auto"/>
            <w:noWrap/>
            <w:vAlign w:val="center"/>
          </w:tcPr>
          <w:p w14:paraId="5793B3F0"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15.1 </w:t>
            </w:r>
          </w:p>
        </w:tc>
        <w:tc>
          <w:tcPr>
            <w:tcW w:w="992" w:type="dxa"/>
            <w:tcBorders>
              <w:top w:val="nil"/>
              <w:left w:val="nil"/>
              <w:bottom w:val="single" w:sz="4" w:space="0" w:color="auto"/>
              <w:right w:val="single" w:sz="4" w:space="0" w:color="auto"/>
            </w:tcBorders>
            <w:shd w:val="clear" w:color="auto" w:fill="auto"/>
            <w:noWrap/>
            <w:vAlign w:val="center"/>
          </w:tcPr>
          <w:p w14:paraId="586AED0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12.2 </w:t>
            </w:r>
          </w:p>
        </w:tc>
        <w:tc>
          <w:tcPr>
            <w:tcW w:w="934" w:type="dxa"/>
            <w:tcBorders>
              <w:top w:val="nil"/>
              <w:left w:val="nil"/>
              <w:bottom w:val="single" w:sz="4" w:space="0" w:color="auto"/>
              <w:right w:val="single" w:sz="4" w:space="0" w:color="auto"/>
            </w:tcBorders>
            <w:shd w:val="clear" w:color="auto" w:fill="auto"/>
            <w:noWrap/>
            <w:vAlign w:val="center"/>
          </w:tcPr>
          <w:p w14:paraId="1913320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16.0 </w:t>
            </w:r>
          </w:p>
        </w:tc>
        <w:tc>
          <w:tcPr>
            <w:tcW w:w="1007" w:type="dxa"/>
            <w:tcBorders>
              <w:top w:val="nil"/>
              <w:left w:val="nil"/>
              <w:bottom w:val="single" w:sz="4" w:space="0" w:color="auto"/>
              <w:right w:val="nil"/>
            </w:tcBorders>
            <w:shd w:val="clear" w:color="auto" w:fill="auto"/>
            <w:noWrap/>
            <w:vAlign w:val="center"/>
          </w:tcPr>
          <w:p w14:paraId="107226C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8.2 </w:t>
            </w:r>
          </w:p>
        </w:tc>
      </w:tr>
      <w:tr w:rsidR="005562B3" w14:paraId="1AD7AE80" w14:textId="77777777" w:rsidTr="00B44D37">
        <w:trPr>
          <w:trHeight w:val="270"/>
          <w:jc w:val="center"/>
        </w:trPr>
        <w:tc>
          <w:tcPr>
            <w:tcW w:w="907" w:type="dxa"/>
            <w:vMerge w:val="restart"/>
            <w:tcBorders>
              <w:top w:val="nil"/>
              <w:left w:val="nil"/>
              <w:bottom w:val="single" w:sz="4" w:space="0" w:color="auto"/>
              <w:right w:val="single" w:sz="4" w:space="0" w:color="auto"/>
            </w:tcBorders>
            <w:shd w:val="clear" w:color="auto" w:fill="auto"/>
            <w:vAlign w:val="center"/>
          </w:tcPr>
          <w:p w14:paraId="38C50CB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改善产品承压型</w:t>
            </w:r>
          </w:p>
        </w:tc>
        <w:tc>
          <w:tcPr>
            <w:tcW w:w="940" w:type="dxa"/>
            <w:tcBorders>
              <w:top w:val="nil"/>
              <w:left w:val="nil"/>
              <w:bottom w:val="single" w:sz="4" w:space="0" w:color="auto"/>
              <w:right w:val="single" w:sz="4" w:space="0" w:color="auto"/>
            </w:tcBorders>
            <w:shd w:val="clear" w:color="auto" w:fill="auto"/>
            <w:noWrap/>
            <w:vAlign w:val="center"/>
          </w:tcPr>
          <w:p w14:paraId="7A86454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濮阳</w:t>
            </w:r>
          </w:p>
        </w:tc>
        <w:tc>
          <w:tcPr>
            <w:tcW w:w="876" w:type="dxa"/>
            <w:tcBorders>
              <w:top w:val="nil"/>
              <w:left w:val="nil"/>
              <w:bottom w:val="single" w:sz="4" w:space="0" w:color="auto"/>
              <w:right w:val="single" w:sz="4" w:space="0" w:color="auto"/>
            </w:tcBorders>
            <w:shd w:val="clear" w:color="auto" w:fill="auto"/>
            <w:noWrap/>
            <w:vAlign w:val="center"/>
          </w:tcPr>
          <w:p w14:paraId="0C1CFC2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28.4 </w:t>
            </w:r>
          </w:p>
        </w:tc>
        <w:tc>
          <w:tcPr>
            <w:tcW w:w="850" w:type="dxa"/>
            <w:tcBorders>
              <w:top w:val="nil"/>
              <w:left w:val="nil"/>
              <w:bottom w:val="single" w:sz="4" w:space="0" w:color="auto"/>
              <w:right w:val="single" w:sz="4" w:space="0" w:color="auto"/>
            </w:tcBorders>
            <w:shd w:val="clear" w:color="auto" w:fill="auto"/>
            <w:noWrap/>
            <w:vAlign w:val="center"/>
          </w:tcPr>
          <w:p w14:paraId="4F033186"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4.6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88FC01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103.7 </w:t>
            </w:r>
          </w:p>
        </w:tc>
        <w:tc>
          <w:tcPr>
            <w:tcW w:w="850" w:type="dxa"/>
            <w:tcBorders>
              <w:top w:val="nil"/>
              <w:left w:val="nil"/>
              <w:bottom w:val="single" w:sz="4" w:space="0" w:color="auto"/>
              <w:right w:val="single" w:sz="4" w:space="0" w:color="auto"/>
            </w:tcBorders>
            <w:shd w:val="clear" w:color="auto" w:fill="auto"/>
            <w:noWrap/>
            <w:vAlign w:val="center"/>
          </w:tcPr>
          <w:p w14:paraId="4DC9071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29.7 </w:t>
            </w:r>
          </w:p>
        </w:tc>
        <w:tc>
          <w:tcPr>
            <w:tcW w:w="992" w:type="dxa"/>
            <w:tcBorders>
              <w:top w:val="nil"/>
              <w:left w:val="nil"/>
              <w:bottom w:val="single" w:sz="4" w:space="0" w:color="auto"/>
              <w:right w:val="single" w:sz="4" w:space="0" w:color="auto"/>
            </w:tcBorders>
            <w:shd w:val="clear" w:color="auto" w:fill="auto"/>
            <w:noWrap/>
            <w:vAlign w:val="center"/>
          </w:tcPr>
          <w:p w14:paraId="342234A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20.3 </w:t>
            </w:r>
          </w:p>
        </w:tc>
        <w:tc>
          <w:tcPr>
            <w:tcW w:w="1051" w:type="dxa"/>
            <w:tcBorders>
              <w:top w:val="nil"/>
              <w:left w:val="nil"/>
              <w:bottom w:val="single" w:sz="4" w:space="0" w:color="auto"/>
              <w:right w:val="single" w:sz="4" w:space="0" w:color="auto"/>
            </w:tcBorders>
            <w:shd w:val="clear" w:color="auto" w:fill="auto"/>
            <w:noWrap/>
            <w:vAlign w:val="center"/>
          </w:tcPr>
          <w:p w14:paraId="1F49E99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23.7 </w:t>
            </w:r>
          </w:p>
        </w:tc>
        <w:tc>
          <w:tcPr>
            <w:tcW w:w="992" w:type="dxa"/>
            <w:tcBorders>
              <w:top w:val="nil"/>
              <w:left w:val="nil"/>
              <w:bottom w:val="single" w:sz="4" w:space="0" w:color="auto"/>
              <w:right w:val="single" w:sz="4" w:space="0" w:color="auto"/>
            </w:tcBorders>
            <w:shd w:val="clear" w:color="auto" w:fill="auto"/>
            <w:noWrap/>
            <w:vAlign w:val="center"/>
          </w:tcPr>
          <w:p w14:paraId="71923AC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23.6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11E62C6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42.7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464331BB"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61.0 </w:t>
            </w:r>
          </w:p>
        </w:tc>
      </w:tr>
      <w:tr w:rsidR="005562B3" w14:paraId="5CF37B05"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5F4E16A0"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51C6E5D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建德</w:t>
            </w:r>
          </w:p>
        </w:tc>
        <w:tc>
          <w:tcPr>
            <w:tcW w:w="876" w:type="dxa"/>
            <w:tcBorders>
              <w:top w:val="nil"/>
              <w:left w:val="nil"/>
              <w:bottom w:val="single" w:sz="4" w:space="0" w:color="auto"/>
              <w:right w:val="single" w:sz="4" w:space="0" w:color="auto"/>
            </w:tcBorders>
            <w:shd w:val="clear" w:color="auto" w:fill="auto"/>
            <w:noWrap/>
            <w:vAlign w:val="center"/>
          </w:tcPr>
          <w:p w14:paraId="566B802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4.7 </w:t>
            </w:r>
          </w:p>
        </w:tc>
        <w:tc>
          <w:tcPr>
            <w:tcW w:w="850" w:type="dxa"/>
            <w:tcBorders>
              <w:top w:val="nil"/>
              <w:left w:val="nil"/>
              <w:bottom w:val="single" w:sz="4" w:space="0" w:color="auto"/>
              <w:right w:val="single" w:sz="4" w:space="0" w:color="auto"/>
            </w:tcBorders>
            <w:shd w:val="clear" w:color="auto" w:fill="auto"/>
            <w:noWrap/>
            <w:vAlign w:val="center"/>
          </w:tcPr>
          <w:p w14:paraId="751F5FD5"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18.3 </w:t>
            </w:r>
          </w:p>
        </w:tc>
        <w:tc>
          <w:tcPr>
            <w:tcW w:w="851" w:type="dxa"/>
            <w:tcBorders>
              <w:top w:val="nil"/>
              <w:left w:val="nil"/>
              <w:bottom w:val="single" w:sz="4" w:space="0" w:color="auto"/>
              <w:right w:val="single" w:sz="4" w:space="0" w:color="auto"/>
            </w:tcBorders>
            <w:shd w:val="clear" w:color="auto" w:fill="auto"/>
            <w:noWrap/>
            <w:vAlign w:val="center"/>
          </w:tcPr>
          <w:p w14:paraId="4FAC5328"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15.6 </w:t>
            </w:r>
          </w:p>
        </w:tc>
        <w:tc>
          <w:tcPr>
            <w:tcW w:w="850" w:type="dxa"/>
            <w:tcBorders>
              <w:top w:val="nil"/>
              <w:left w:val="nil"/>
              <w:bottom w:val="single" w:sz="4" w:space="0" w:color="auto"/>
              <w:right w:val="single" w:sz="4" w:space="0" w:color="auto"/>
            </w:tcBorders>
            <w:shd w:val="clear" w:color="auto" w:fill="auto"/>
            <w:noWrap/>
            <w:vAlign w:val="center"/>
          </w:tcPr>
          <w:p w14:paraId="20FF0B36"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18.3 </w:t>
            </w:r>
          </w:p>
        </w:tc>
        <w:tc>
          <w:tcPr>
            <w:tcW w:w="992" w:type="dxa"/>
            <w:tcBorders>
              <w:top w:val="nil"/>
              <w:left w:val="nil"/>
              <w:bottom w:val="single" w:sz="4" w:space="0" w:color="auto"/>
              <w:right w:val="single" w:sz="4" w:space="0" w:color="auto"/>
            </w:tcBorders>
            <w:shd w:val="clear" w:color="auto" w:fill="auto"/>
            <w:noWrap/>
            <w:vAlign w:val="center"/>
          </w:tcPr>
          <w:p w14:paraId="735DDCB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17.2 </w:t>
            </w:r>
          </w:p>
        </w:tc>
        <w:tc>
          <w:tcPr>
            <w:tcW w:w="10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2EA8C30"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32.1 </w:t>
            </w:r>
          </w:p>
        </w:tc>
        <w:tc>
          <w:tcPr>
            <w:tcW w:w="992" w:type="dxa"/>
            <w:tcBorders>
              <w:top w:val="nil"/>
              <w:left w:val="nil"/>
              <w:bottom w:val="single" w:sz="4" w:space="0" w:color="auto"/>
              <w:right w:val="single" w:sz="4" w:space="0" w:color="auto"/>
            </w:tcBorders>
            <w:shd w:val="clear" w:color="auto" w:fill="auto"/>
            <w:noWrap/>
            <w:vAlign w:val="center"/>
          </w:tcPr>
          <w:p w14:paraId="2B10F09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27.2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3E9D081"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67.3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7BF0B8E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92.9 </w:t>
            </w:r>
          </w:p>
        </w:tc>
      </w:tr>
      <w:tr w:rsidR="005562B3" w14:paraId="7DB541F1"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03C352B3"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7748555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海宁</w:t>
            </w:r>
          </w:p>
        </w:tc>
        <w:tc>
          <w:tcPr>
            <w:tcW w:w="876" w:type="dxa"/>
            <w:tcBorders>
              <w:top w:val="nil"/>
              <w:left w:val="nil"/>
              <w:bottom w:val="single" w:sz="4" w:space="0" w:color="auto"/>
              <w:right w:val="single" w:sz="4" w:space="0" w:color="auto"/>
            </w:tcBorders>
            <w:shd w:val="clear" w:color="auto" w:fill="auto"/>
            <w:noWrap/>
            <w:vAlign w:val="center"/>
          </w:tcPr>
          <w:p w14:paraId="2D000E2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22.3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62AE220"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42.5 </w:t>
            </w:r>
          </w:p>
        </w:tc>
        <w:tc>
          <w:tcPr>
            <w:tcW w:w="851" w:type="dxa"/>
            <w:tcBorders>
              <w:top w:val="nil"/>
              <w:left w:val="nil"/>
              <w:bottom w:val="single" w:sz="4" w:space="0" w:color="auto"/>
              <w:right w:val="single" w:sz="4" w:space="0" w:color="auto"/>
            </w:tcBorders>
            <w:shd w:val="clear" w:color="auto" w:fill="auto"/>
            <w:noWrap/>
            <w:vAlign w:val="center"/>
          </w:tcPr>
          <w:p w14:paraId="6631D32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21.2 </w:t>
            </w:r>
          </w:p>
        </w:tc>
        <w:tc>
          <w:tcPr>
            <w:tcW w:w="850" w:type="dxa"/>
            <w:tcBorders>
              <w:top w:val="nil"/>
              <w:left w:val="nil"/>
              <w:bottom w:val="single" w:sz="4" w:space="0" w:color="auto"/>
              <w:right w:val="single" w:sz="4" w:space="0" w:color="auto"/>
            </w:tcBorders>
            <w:shd w:val="clear" w:color="auto" w:fill="auto"/>
            <w:noWrap/>
            <w:vAlign w:val="center"/>
          </w:tcPr>
          <w:p w14:paraId="207F07E4"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22.3 </w:t>
            </w:r>
          </w:p>
        </w:tc>
        <w:tc>
          <w:tcPr>
            <w:tcW w:w="992" w:type="dxa"/>
            <w:tcBorders>
              <w:top w:val="nil"/>
              <w:left w:val="nil"/>
              <w:bottom w:val="single" w:sz="4" w:space="0" w:color="auto"/>
              <w:right w:val="single" w:sz="4" w:space="0" w:color="auto"/>
            </w:tcBorders>
            <w:shd w:val="clear" w:color="auto" w:fill="auto"/>
            <w:noWrap/>
            <w:vAlign w:val="center"/>
          </w:tcPr>
          <w:p w14:paraId="445E858D"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19.6 </w:t>
            </w:r>
          </w:p>
        </w:tc>
        <w:tc>
          <w:tcPr>
            <w:tcW w:w="1051" w:type="dxa"/>
            <w:tcBorders>
              <w:top w:val="nil"/>
              <w:left w:val="nil"/>
              <w:bottom w:val="single" w:sz="4" w:space="0" w:color="auto"/>
              <w:right w:val="single" w:sz="4" w:space="0" w:color="auto"/>
            </w:tcBorders>
            <w:shd w:val="clear" w:color="auto" w:fill="auto"/>
            <w:noWrap/>
            <w:vAlign w:val="center"/>
          </w:tcPr>
          <w:p w14:paraId="79365640"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13.2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497C1E6"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33.0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CF65691"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84.1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5163D37D"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79.9 </w:t>
            </w:r>
          </w:p>
        </w:tc>
      </w:tr>
      <w:tr w:rsidR="005562B3" w14:paraId="185F70F0"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2DAFAB18"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47438AD0"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资阳</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5313844"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108.0 </w:t>
            </w:r>
          </w:p>
        </w:tc>
        <w:tc>
          <w:tcPr>
            <w:tcW w:w="850" w:type="dxa"/>
            <w:tcBorders>
              <w:top w:val="nil"/>
              <w:left w:val="nil"/>
              <w:bottom w:val="single" w:sz="4" w:space="0" w:color="auto"/>
              <w:right w:val="single" w:sz="4" w:space="0" w:color="auto"/>
            </w:tcBorders>
            <w:shd w:val="clear" w:color="auto" w:fill="auto"/>
            <w:noWrap/>
            <w:vAlign w:val="center"/>
          </w:tcPr>
          <w:p w14:paraId="4C482EF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14.2 </w:t>
            </w:r>
          </w:p>
        </w:tc>
        <w:tc>
          <w:tcPr>
            <w:tcW w:w="851" w:type="dxa"/>
            <w:tcBorders>
              <w:top w:val="nil"/>
              <w:left w:val="nil"/>
              <w:bottom w:val="single" w:sz="4" w:space="0" w:color="auto"/>
              <w:right w:val="single" w:sz="4" w:space="0" w:color="auto"/>
            </w:tcBorders>
            <w:shd w:val="clear" w:color="auto" w:fill="auto"/>
            <w:noWrap/>
            <w:vAlign w:val="center"/>
          </w:tcPr>
          <w:p w14:paraId="083F9926"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11.4 </w:t>
            </w:r>
          </w:p>
        </w:tc>
        <w:tc>
          <w:tcPr>
            <w:tcW w:w="850" w:type="dxa"/>
            <w:tcBorders>
              <w:top w:val="nil"/>
              <w:left w:val="nil"/>
              <w:bottom w:val="single" w:sz="4" w:space="0" w:color="auto"/>
              <w:right w:val="single" w:sz="4" w:space="0" w:color="auto"/>
            </w:tcBorders>
            <w:shd w:val="clear" w:color="auto" w:fill="auto"/>
            <w:noWrap/>
            <w:vAlign w:val="center"/>
          </w:tcPr>
          <w:p w14:paraId="0AE2F63D"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17.1 </w:t>
            </w:r>
          </w:p>
        </w:tc>
        <w:tc>
          <w:tcPr>
            <w:tcW w:w="992" w:type="dxa"/>
            <w:tcBorders>
              <w:top w:val="nil"/>
              <w:left w:val="nil"/>
              <w:bottom w:val="single" w:sz="4" w:space="0" w:color="auto"/>
              <w:right w:val="single" w:sz="4" w:space="0" w:color="auto"/>
            </w:tcBorders>
            <w:shd w:val="clear" w:color="auto" w:fill="auto"/>
            <w:noWrap/>
            <w:vAlign w:val="center"/>
          </w:tcPr>
          <w:p w14:paraId="400D34D0"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13.4 </w:t>
            </w:r>
          </w:p>
        </w:tc>
        <w:tc>
          <w:tcPr>
            <w:tcW w:w="1051" w:type="dxa"/>
            <w:tcBorders>
              <w:top w:val="nil"/>
              <w:left w:val="nil"/>
              <w:bottom w:val="single" w:sz="4" w:space="0" w:color="auto"/>
              <w:right w:val="single" w:sz="4" w:space="0" w:color="auto"/>
            </w:tcBorders>
            <w:shd w:val="clear" w:color="auto" w:fill="auto"/>
            <w:noWrap/>
            <w:vAlign w:val="center"/>
          </w:tcPr>
          <w:p w14:paraId="55AFE14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27.3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5763740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36.2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1D682D8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58.7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40A86CB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80.2 </w:t>
            </w:r>
          </w:p>
        </w:tc>
      </w:tr>
      <w:tr w:rsidR="005562B3" w14:paraId="015AB71C"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207C7377"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6166729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泸州</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2482829"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54.3 </w:t>
            </w:r>
          </w:p>
        </w:tc>
        <w:tc>
          <w:tcPr>
            <w:tcW w:w="850" w:type="dxa"/>
            <w:tcBorders>
              <w:top w:val="nil"/>
              <w:left w:val="nil"/>
              <w:bottom w:val="single" w:sz="4" w:space="0" w:color="auto"/>
              <w:right w:val="single" w:sz="4" w:space="0" w:color="auto"/>
            </w:tcBorders>
            <w:shd w:val="clear" w:color="auto" w:fill="auto"/>
            <w:noWrap/>
            <w:vAlign w:val="center"/>
          </w:tcPr>
          <w:p w14:paraId="1539840A"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24.2 </w:t>
            </w:r>
          </w:p>
        </w:tc>
        <w:tc>
          <w:tcPr>
            <w:tcW w:w="851" w:type="dxa"/>
            <w:tcBorders>
              <w:top w:val="nil"/>
              <w:left w:val="nil"/>
              <w:bottom w:val="single" w:sz="4" w:space="0" w:color="auto"/>
              <w:right w:val="single" w:sz="4" w:space="0" w:color="auto"/>
            </w:tcBorders>
            <w:shd w:val="clear" w:color="auto" w:fill="auto"/>
            <w:noWrap/>
            <w:vAlign w:val="center"/>
          </w:tcPr>
          <w:p w14:paraId="5A8B30A0"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19.0 </w:t>
            </w:r>
          </w:p>
        </w:tc>
        <w:tc>
          <w:tcPr>
            <w:tcW w:w="850" w:type="dxa"/>
            <w:tcBorders>
              <w:top w:val="nil"/>
              <w:left w:val="nil"/>
              <w:bottom w:val="single" w:sz="4" w:space="0" w:color="auto"/>
              <w:right w:val="single" w:sz="4" w:space="0" w:color="auto"/>
            </w:tcBorders>
            <w:shd w:val="clear" w:color="auto" w:fill="auto"/>
            <w:noWrap/>
            <w:vAlign w:val="center"/>
          </w:tcPr>
          <w:p w14:paraId="28D53E6C"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26.1 </w:t>
            </w:r>
          </w:p>
        </w:tc>
        <w:tc>
          <w:tcPr>
            <w:tcW w:w="992" w:type="dxa"/>
            <w:tcBorders>
              <w:top w:val="nil"/>
              <w:left w:val="nil"/>
              <w:bottom w:val="single" w:sz="4" w:space="0" w:color="auto"/>
              <w:right w:val="single" w:sz="4" w:space="0" w:color="auto"/>
            </w:tcBorders>
            <w:shd w:val="clear" w:color="auto" w:fill="auto"/>
            <w:noWrap/>
            <w:vAlign w:val="center"/>
          </w:tcPr>
          <w:p w14:paraId="17C875FA"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28.6 </w:t>
            </w:r>
          </w:p>
        </w:tc>
        <w:tc>
          <w:tcPr>
            <w:tcW w:w="10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062A8E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36.3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3F6586B"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58.8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CAAEB0B"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75.9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4407FBFB"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102.5 </w:t>
            </w:r>
          </w:p>
        </w:tc>
      </w:tr>
      <w:tr w:rsidR="005562B3" w14:paraId="422676A9" w14:textId="77777777" w:rsidTr="00B44D37">
        <w:trPr>
          <w:trHeight w:val="270"/>
          <w:jc w:val="center"/>
        </w:trPr>
        <w:tc>
          <w:tcPr>
            <w:tcW w:w="907" w:type="dxa"/>
            <w:vMerge w:val="restart"/>
            <w:tcBorders>
              <w:top w:val="nil"/>
              <w:left w:val="nil"/>
              <w:bottom w:val="single" w:sz="4" w:space="0" w:color="auto"/>
              <w:right w:val="single" w:sz="4" w:space="0" w:color="auto"/>
            </w:tcBorders>
            <w:shd w:val="clear" w:color="auto" w:fill="auto"/>
            <w:vAlign w:val="center"/>
          </w:tcPr>
          <w:p w14:paraId="102F685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两头承压型</w:t>
            </w:r>
          </w:p>
        </w:tc>
        <w:tc>
          <w:tcPr>
            <w:tcW w:w="940" w:type="dxa"/>
            <w:tcBorders>
              <w:top w:val="nil"/>
              <w:left w:val="nil"/>
              <w:bottom w:val="single" w:sz="4" w:space="0" w:color="auto"/>
              <w:right w:val="single" w:sz="4" w:space="0" w:color="auto"/>
            </w:tcBorders>
            <w:shd w:val="clear" w:color="auto" w:fill="auto"/>
            <w:noWrap/>
            <w:vAlign w:val="center"/>
          </w:tcPr>
          <w:p w14:paraId="05C3A4A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运城</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D90A373"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64.1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0DB4FE0"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86.0 </w:t>
            </w:r>
          </w:p>
        </w:tc>
        <w:tc>
          <w:tcPr>
            <w:tcW w:w="851" w:type="dxa"/>
            <w:tcBorders>
              <w:top w:val="nil"/>
              <w:left w:val="nil"/>
              <w:bottom w:val="single" w:sz="4" w:space="0" w:color="auto"/>
              <w:right w:val="single" w:sz="4" w:space="0" w:color="auto"/>
            </w:tcBorders>
            <w:shd w:val="clear" w:color="auto" w:fill="auto"/>
            <w:noWrap/>
            <w:vAlign w:val="center"/>
          </w:tcPr>
          <w:p w14:paraId="2894257C"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22.9 </w:t>
            </w:r>
          </w:p>
        </w:tc>
        <w:tc>
          <w:tcPr>
            <w:tcW w:w="850" w:type="dxa"/>
            <w:tcBorders>
              <w:top w:val="nil"/>
              <w:left w:val="nil"/>
              <w:bottom w:val="single" w:sz="4" w:space="0" w:color="auto"/>
              <w:right w:val="single" w:sz="4" w:space="0" w:color="auto"/>
            </w:tcBorders>
            <w:shd w:val="clear" w:color="auto" w:fill="auto"/>
            <w:noWrap/>
            <w:vAlign w:val="center"/>
          </w:tcPr>
          <w:p w14:paraId="566EC91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23.7 </w:t>
            </w:r>
          </w:p>
        </w:tc>
        <w:tc>
          <w:tcPr>
            <w:tcW w:w="992" w:type="dxa"/>
            <w:tcBorders>
              <w:top w:val="nil"/>
              <w:left w:val="nil"/>
              <w:bottom w:val="single" w:sz="4" w:space="0" w:color="auto"/>
              <w:right w:val="single" w:sz="4" w:space="0" w:color="auto"/>
            </w:tcBorders>
            <w:shd w:val="clear" w:color="auto" w:fill="auto"/>
            <w:noWrap/>
            <w:vAlign w:val="center"/>
          </w:tcPr>
          <w:p w14:paraId="7326007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22.4 </w:t>
            </w:r>
          </w:p>
        </w:tc>
        <w:tc>
          <w:tcPr>
            <w:tcW w:w="1051" w:type="dxa"/>
            <w:tcBorders>
              <w:top w:val="nil"/>
              <w:left w:val="nil"/>
              <w:bottom w:val="single" w:sz="4" w:space="0" w:color="auto"/>
              <w:right w:val="single" w:sz="4" w:space="0" w:color="auto"/>
            </w:tcBorders>
            <w:shd w:val="clear" w:color="auto" w:fill="auto"/>
            <w:noWrap/>
            <w:vAlign w:val="center"/>
          </w:tcPr>
          <w:p w14:paraId="13EC2E5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26.3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6BAB577"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39.1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23D08BB8"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34.4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128CE47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89.2 </w:t>
            </w:r>
          </w:p>
        </w:tc>
      </w:tr>
      <w:tr w:rsidR="005562B3" w14:paraId="1598DEC6"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58A316C5"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03AD7A8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钦州</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1435E26"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103.1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07F9301"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79.6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9372D82"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30.7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14D9AB26"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38.1 </w:t>
            </w:r>
          </w:p>
        </w:tc>
        <w:tc>
          <w:tcPr>
            <w:tcW w:w="992" w:type="dxa"/>
            <w:tcBorders>
              <w:top w:val="nil"/>
              <w:left w:val="nil"/>
              <w:bottom w:val="single" w:sz="4" w:space="0" w:color="auto"/>
              <w:right w:val="single" w:sz="4" w:space="0" w:color="auto"/>
            </w:tcBorders>
            <w:shd w:val="clear" w:color="auto" w:fill="auto"/>
            <w:noWrap/>
            <w:vAlign w:val="center"/>
          </w:tcPr>
          <w:p w14:paraId="7D87845A"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23.4 </w:t>
            </w:r>
          </w:p>
        </w:tc>
        <w:tc>
          <w:tcPr>
            <w:tcW w:w="1051" w:type="dxa"/>
            <w:tcBorders>
              <w:top w:val="nil"/>
              <w:left w:val="nil"/>
              <w:bottom w:val="single" w:sz="4" w:space="0" w:color="auto"/>
              <w:right w:val="single" w:sz="4" w:space="0" w:color="auto"/>
            </w:tcBorders>
            <w:shd w:val="clear" w:color="auto" w:fill="auto"/>
            <w:noWrap/>
            <w:vAlign w:val="center"/>
          </w:tcPr>
          <w:p w14:paraId="52ED6FB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20.7 </w:t>
            </w:r>
          </w:p>
        </w:tc>
        <w:tc>
          <w:tcPr>
            <w:tcW w:w="992" w:type="dxa"/>
            <w:tcBorders>
              <w:top w:val="nil"/>
              <w:left w:val="nil"/>
              <w:bottom w:val="single" w:sz="4" w:space="0" w:color="auto"/>
              <w:right w:val="single" w:sz="4" w:space="0" w:color="auto"/>
            </w:tcBorders>
            <w:shd w:val="clear" w:color="auto" w:fill="auto"/>
            <w:noWrap/>
            <w:vAlign w:val="center"/>
          </w:tcPr>
          <w:p w14:paraId="79E2FB5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22.6 </w:t>
            </w:r>
          </w:p>
        </w:tc>
        <w:tc>
          <w:tcPr>
            <w:tcW w:w="934" w:type="dxa"/>
            <w:tcBorders>
              <w:top w:val="nil"/>
              <w:left w:val="nil"/>
              <w:bottom w:val="single" w:sz="4" w:space="0" w:color="auto"/>
              <w:right w:val="single" w:sz="4" w:space="0" w:color="auto"/>
            </w:tcBorders>
            <w:shd w:val="clear" w:color="auto" w:fill="auto"/>
            <w:noWrap/>
            <w:vAlign w:val="center"/>
          </w:tcPr>
          <w:p w14:paraId="13D24115"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23.0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041786B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101.8 </w:t>
            </w:r>
          </w:p>
        </w:tc>
      </w:tr>
      <w:tr w:rsidR="005562B3" w14:paraId="60DFCFE1"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24A70ACD"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37562F24"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柳州</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005B5BA9"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48.3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BD8253B"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41.4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E19232C"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36.3 </w:t>
            </w:r>
          </w:p>
        </w:tc>
        <w:tc>
          <w:tcPr>
            <w:tcW w:w="850" w:type="dxa"/>
            <w:tcBorders>
              <w:top w:val="nil"/>
              <w:left w:val="nil"/>
              <w:bottom w:val="single" w:sz="4" w:space="0" w:color="auto"/>
              <w:right w:val="single" w:sz="4" w:space="0" w:color="auto"/>
            </w:tcBorders>
            <w:shd w:val="clear" w:color="auto" w:fill="auto"/>
            <w:noWrap/>
            <w:vAlign w:val="center"/>
          </w:tcPr>
          <w:p w14:paraId="656735E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17.9 </w:t>
            </w:r>
          </w:p>
        </w:tc>
        <w:tc>
          <w:tcPr>
            <w:tcW w:w="992" w:type="dxa"/>
            <w:tcBorders>
              <w:top w:val="nil"/>
              <w:left w:val="nil"/>
              <w:bottom w:val="single" w:sz="4" w:space="0" w:color="auto"/>
              <w:right w:val="single" w:sz="4" w:space="0" w:color="auto"/>
            </w:tcBorders>
            <w:shd w:val="clear" w:color="auto" w:fill="auto"/>
            <w:noWrap/>
            <w:vAlign w:val="center"/>
          </w:tcPr>
          <w:p w14:paraId="438D01B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23.7 </w:t>
            </w:r>
          </w:p>
        </w:tc>
        <w:tc>
          <w:tcPr>
            <w:tcW w:w="1051" w:type="dxa"/>
            <w:tcBorders>
              <w:top w:val="nil"/>
              <w:left w:val="nil"/>
              <w:bottom w:val="single" w:sz="4" w:space="0" w:color="auto"/>
              <w:right w:val="single" w:sz="4" w:space="0" w:color="auto"/>
            </w:tcBorders>
            <w:shd w:val="clear" w:color="auto" w:fill="auto"/>
            <w:noWrap/>
            <w:vAlign w:val="center"/>
          </w:tcPr>
          <w:p w14:paraId="1386C46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25.6 </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429B335"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33.6 </w:t>
            </w:r>
          </w:p>
        </w:tc>
        <w:tc>
          <w:tcPr>
            <w:tcW w:w="934" w:type="dxa"/>
            <w:tcBorders>
              <w:top w:val="nil"/>
              <w:left w:val="nil"/>
              <w:bottom w:val="single" w:sz="4" w:space="0" w:color="auto"/>
              <w:right w:val="single" w:sz="4" w:space="0" w:color="auto"/>
            </w:tcBorders>
            <w:shd w:val="clear" w:color="auto" w:fill="auto"/>
            <w:noWrap/>
            <w:vAlign w:val="center"/>
          </w:tcPr>
          <w:p w14:paraId="3ECCC18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26.1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502970F9"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52.5 </w:t>
            </w:r>
          </w:p>
        </w:tc>
      </w:tr>
      <w:tr w:rsidR="005562B3" w14:paraId="2A7BA44F"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0536D943"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24398FB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桐乡</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F4C52E6"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120.2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E152A74"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68.8 </w:t>
            </w:r>
          </w:p>
        </w:tc>
        <w:tc>
          <w:tcPr>
            <w:tcW w:w="851"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D0A895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44.7 </w:t>
            </w:r>
          </w:p>
        </w:tc>
        <w:tc>
          <w:tcPr>
            <w:tcW w:w="850" w:type="dxa"/>
            <w:tcBorders>
              <w:top w:val="nil"/>
              <w:left w:val="nil"/>
              <w:bottom w:val="single" w:sz="4" w:space="0" w:color="auto"/>
              <w:right w:val="single" w:sz="4" w:space="0" w:color="auto"/>
            </w:tcBorders>
            <w:shd w:val="clear" w:color="auto" w:fill="auto"/>
            <w:noWrap/>
            <w:vAlign w:val="center"/>
          </w:tcPr>
          <w:p w14:paraId="2844C43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24.3 </w:t>
            </w:r>
          </w:p>
        </w:tc>
        <w:tc>
          <w:tcPr>
            <w:tcW w:w="992" w:type="dxa"/>
            <w:tcBorders>
              <w:top w:val="nil"/>
              <w:left w:val="nil"/>
              <w:bottom w:val="single" w:sz="4" w:space="0" w:color="auto"/>
              <w:right w:val="single" w:sz="4" w:space="0" w:color="auto"/>
            </w:tcBorders>
            <w:shd w:val="clear" w:color="auto" w:fill="auto"/>
            <w:noWrap/>
            <w:vAlign w:val="center"/>
          </w:tcPr>
          <w:p w14:paraId="7127A55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15.9 </w:t>
            </w:r>
          </w:p>
        </w:tc>
        <w:tc>
          <w:tcPr>
            <w:tcW w:w="1051" w:type="dxa"/>
            <w:tcBorders>
              <w:top w:val="nil"/>
              <w:left w:val="nil"/>
              <w:bottom w:val="single" w:sz="4" w:space="0" w:color="auto"/>
              <w:right w:val="single" w:sz="4" w:space="0" w:color="auto"/>
            </w:tcBorders>
            <w:shd w:val="clear" w:color="auto" w:fill="auto"/>
            <w:noWrap/>
            <w:vAlign w:val="center"/>
          </w:tcPr>
          <w:p w14:paraId="18FE685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15.6 </w:t>
            </w:r>
          </w:p>
        </w:tc>
        <w:tc>
          <w:tcPr>
            <w:tcW w:w="992" w:type="dxa"/>
            <w:tcBorders>
              <w:top w:val="nil"/>
              <w:left w:val="nil"/>
              <w:bottom w:val="single" w:sz="4" w:space="0" w:color="auto"/>
              <w:right w:val="single" w:sz="4" w:space="0" w:color="auto"/>
            </w:tcBorders>
            <w:shd w:val="clear" w:color="auto" w:fill="auto"/>
            <w:noWrap/>
            <w:vAlign w:val="center"/>
          </w:tcPr>
          <w:p w14:paraId="72F505B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18.1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CE8A428"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40.3 </w:t>
            </w:r>
          </w:p>
        </w:tc>
        <w:tc>
          <w:tcPr>
            <w:tcW w:w="1007" w:type="dxa"/>
            <w:tcBorders>
              <w:top w:val="single" w:sz="4" w:space="0" w:color="auto"/>
              <w:left w:val="single" w:sz="4" w:space="0" w:color="auto"/>
              <w:bottom w:val="single" w:sz="4" w:space="0" w:color="auto"/>
              <w:right w:val="nil"/>
            </w:tcBorders>
            <w:shd w:val="clear" w:color="000000" w:fill="FFC7CE"/>
            <w:noWrap/>
            <w:vAlign w:val="center"/>
          </w:tcPr>
          <w:p w14:paraId="43EE5D3C"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37.0 </w:t>
            </w:r>
          </w:p>
        </w:tc>
      </w:tr>
      <w:tr w:rsidR="005562B3" w14:paraId="270746B0"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645B388C"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1A954880"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莆田</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C0B10B8"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33.6 </w:t>
            </w:r>
          </w:p>
        </w:tc>
        <w:tc>
          <w:tcPr>
            <w:tcW w:w="850"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F8D41D9"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104.3 </w:t>
            </w:r>
          </w:p>
        </w:tc>
        <w:tc>
          <w:tcPr>
            <w:tcW w:w="851" w:type="dxa"/>
            <w:tcBorders>
              <w:top w:val="nil"/>
              <w:left w:val="nil"/>
              <w:bottom w:val="single" w:sz="4" w:space="0" w:color="auto"/>
              <w:right w:val="single" w:sz="4" w:space="0" w:color="auto"/>
            </w:tcBorders>
            <w:shd w:val="clear" w:color="auto" w:fill="auto"/>
            <w:noWrap/>
            <w:vAlign w:val="center"/>
          </w:tcPr>
          <w:p w14:paraId="69242E5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20.1 </w:t>
            </w:r>
          </w:p>
        </w:tc>
        <w:tc>
          <w:tcPr>
            <w:tcW w:w="850" w:type="dxa"/>
            <w:tcBorders>
              <w:top w:val="nil"/>
              <w:left w:val="nil"/>
              <w:bottom w:val="single" w:sz="4" w:space="0" w:color="auto"/>
              <w:right w:val="single" w:sz="4" w:space="0" w:color="auto"/>
            </w:tcBorders>
            <w:shd w:val="clear" w:color="auto" w:fill="auto"/>
            <w:noWrap/>
            <w:vAlign w:val="center"/>
          </w:tcPr>
          <w:p w14:paraId="2C11EFC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18.6 </w:t>
            </w:r>
          </w:p>
        </w:tc>
        <w:tc>
          <w:tcPr>
            <w:tcW w:w="992" w:type="dxa"/>
            <w:tcBorders>
              <w:top w:val="nil"/>
              <w:left w:val="nil"/>
              <w:bottom w:val="single" w:sz="4" w:space="0" w:color="auto"/>
              <w:right w:val="single" w:sz="4" w:space="0" w:color="auto"/>
            </w:tcBorders>
            <w:shd w:val="clear" w:color="auto" w:fill="auto"/>
            <w:noWrap/>
            <w:vAlign w:val="center"/>
          </w:tcPr>
          <w:p w14:paraId="4729A0E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15.4 </w:t>
            </w:r>
          </w:p>
        </w:tc>
        <w:tc>
          <w:tcPr>
            <w:tcW w:w="1051" w:type="dxa"/>
            <w:tcBorders>
              <w:top w:val="nil"/>
              <w:left w:val="nil"/>
              <w:bottom w:val="single" w:sz="4" w:space="0" w:color="auto"/>
              <w:right w:val="single" w:sz="4" w:space="0" w:color="auto"/>
            </w:tcBorders>
            <w:shd w:val="clear" w:color="auto" w:fill="auto"/>
            <w:noWrap/>
            <w:vAlign w:val="center"/>
          </w:tcPr>
          <w:p w14:paraId="230DB8EC"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14.9 </w:t>
            </w:r>
          </w:p>
        </w:tc>
        <w:tc>
          <w:tcPr>
            <w:tcW w:w="992" w:type="dxa"/>
            <w:tcBorders>
              <w:top w:val="nil"/>
              <w:left w:val="nil"/>
              <w:bottom w:val="single" w:sz="4" w:space="0" w:color="auto"/>
              <w:right w:val="single" w:sz="4" w:space="0" w:color="auto"/>
            </w:tcBorders>
            <w:shd w:val="clear" w:color="auto" w:fill="auto"/>
            <w:noWrap/>
            <w:vAlign w:val="center"/>
          </w:tcPr>
          <w:p w14:paraId="607BFFC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14.5 </w:t>
            </w:r>
          </w:p>
        </w:tc>
        <w:tc>
          <w:tcPr>
            <w:tcW w:w="93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100FC75D"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40.8 </w:t>
            </w:r>
          </w:p>
        </w:tc>
        <w:tc>
          <w:tcPr>
            <w:tcW w:w="1007" w:type="dxa"/>
            <w:tcBorders>
              <w:top w:val="nil"/>
              <w:left w:val="nil"/>
              <w:bottom w:val="single" w:sz="4" w:space="0" w:color="auto"/>
              <w:right w:val="nil"/>
            </w:tcBorders>
            <w:shd w:val="clear" w:color="auto" w:fill="auto"/>
            <w:noWrap/>
            <w:vAlign w:val="center"/>
          </w:tcPr>
          <w:p w14:paraId="4860075D"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25.2 </w:t>
            </w:r>
          </w:p>
        </w:tc>
      </w:tr>
      <w:tr w:rsidR="005562B3" w14:paraId="249813B5" w14:textId="77777777" w:rsidTr="00B44D37">
        <w:trPr>
          <w:trHeight w:val="270"/>
          <w:jc w:val="center"/>
        </w:trPr>
        <w:tc>
          <w:tcPr>
            <w:tcW w:w="907" w:type="dxa"/>
            <w:vMerge w:val="restart"/>
            <w:tcBorders>
              <w:top w:val="nil"/>
              <w:left w:val="nil"/>
              <w:bottom w:val="single" w:sz="4" w:space="0" w:color="auto"/>
              <w:right w:val="single" w:sz="4" w:space="0" w:color="auto"/>
            </w:tcBorders>
            <w:shd w:val="clear" w:color="auto" w:fill="auto"/>
            <w:vAlign w:val="center"/>
          </w:tcPr>
          <w:p w14:paraId="5D2FA7DA"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库存无虞型</w:t>
            </w:r>
          </w:p>
        </w:tc>
        <w:tc>
          <w:tcPr>
            <w:tcW w:w="940" w:type="dxa"/>
            <w:tcBorders>
              <w:top w:val="nil"/>
              <w:left w:val="nil"/>
              <w:bottom w:val="single" w:sz="4" w:space="0" w:color="auto"/>
              <w:right w:val="single" w:sz="4" w:space="0" w:color="auto"/>
            </w:tcBorders>
            <w:shd w:val="clear" w:color="auto" w:fill="auto"/>
            <w:noWrap/>
            <w:vAlign w:val="center"/>
          </w:tcPr>
          <w:p w14:paraId="08472ED7"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合肥</w:t>
            </w:r>
          </w:p>
        </w:tc>
        <w:tc>
          <w:tcPr>
            <w:tcW w:w="876" w:type="dxa"/>
            <w:tcBorders>
              <w:top w:val="nil"/>
              <w:left w:val="nil"/>
              <w:bottom w:val="single" w:sz="4" w:space="0" w:color="auto"/>
              <w:right w:val="single" w:sz="4" w:space="0" w:color="auto"/>
            </w:tcBorders>
            <w:shd w:val="clear" w:color="auto" w:fill="auto"/>
            <w:noWrap/>
            <w:vAlign w:val="center"/>
          </w:tcPr>
          <w:p w14:paraId="2DDC9D0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19.3 </w:t>
            </w:r>
          </w:p>
        </w:tc>
        <w:tc>
          <w:tcPr>
            <w:tcW w:w="850" w:type="dxa"/>
            <w:tcBorders>
              <w:top w:val="nil"/>
              <w:left w:val="nil"/>
              <w:bottom w:val="single" w:sz="4" w:space="0" w:color="auto"/>
              <w:right w:val="single" w:sz="4" w:space="0" w:color="auto"/>
            </w:tcBorders>
            <w:shd w:val="clear" w:color="auto" w:fill="auto"/>
            <w:noWrap/>
            <w:vAlign w:val="center"/>
          </w:tcPr>
          <w:p w14:paraId="03804AB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18.8 </w:t>
            </w:r>
          </w:p>
        </w:tc>
        <w:tc>
          <w:tcPr>
            <w:tcW w:w="851" w:type="dxa"/>
            <w:tcBorders>
              <w:top w:val="nil"/>
              <w:left w:val="nil"/>
              <w:bottom w:val="single" w:sz="4" w:space="0" w:color="auto"/>
              <w:right w:val="single" w:sz="4" w:space="0" w:color="auto"/>
            </w:tcBorders>
            <w:shd w:val="clear" w:color="auto" w:fill="auto"/>
            <w:noWrap/>
            <w:vAlign w:val="center"/>
          </w:tcPr>
          <w:p w14:paraId="6BBE3088"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7.0 </w:t>
            </w:r>
          </w:p>
        </w:tc>
        <w:tc>
          <w:tcPr>
            <w:tcW w:w="850" w:type="dxa"/>
            <w:tcBorders>
              <w:top w:val="nil"/>
              <w:left w:val="nil"/>
              <w:bottom w:val="single" w:sz="4" w:space="0" w:color="auto"/>
              <w:right w:val="single" w:sz="4" w:space="0" w:color="auto"/>
            </w:tcBorders>
            <w:shd w:val="clear" w:color="auto" w:fill="auto"/>
            <w:noWrap/>
            <w:vAlign w:val="center"/>
          </w:tcPr>
          <w:p w14:paraId="7A58AF2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7.2 </w:t>
            </w:r>
          </w:p>
        </w:tc>
        <w:tc>
          <w:tcPr>
            <w:tcW w:w="992" w:type="dxa"/>
            <w:tcBorders>
              <w:top w:val="nil"/>
              <w:left w:val="nil"/>
              <w:bottom w:val="single" w:sz="4" w:space="0" w:color="auto"/>
              <w:right w:val="single" w:sz="4" w:space="0" w:color="auto"/>
            </w:tcBorders>
            <w:shd w:val="clear" w:color="auto" w:fill="auto"/>
            <w:noWrap/>
            <w:vAlign w:val="center"/>
          </w:tcPr>
          <w:p w14:paraId="3743DAE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6.3 </w:t>
            </w:r>
          </w:p>
        </w:tc>
        <w:tc>
          <w:tcPr>
            <w:tcW w:w="1051" w:type="dxa"/>
            <w:tcBorders>
              <w:top w:val="nil"/>
              <w:left w:val="nil"/>
              <w:bottom w:val="single" w:sz="4" w:space="0" w:color="auto"/>
              <w:right w:val="single" w:sz="4" w:space="0" w:color="auto"/>
            </w:tcBorders>
            <w:shd w:val="clear" w:color="auto" w:fill="auto"/>
            <w:noWrap/>
            <w:vAlign w:val="center"/>
          </w:tcPr>
          <w:p w14:paraId="4131E69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5.0 </w:t>
            </w:r>
          </w:p>
        </w:tc>
        <w:tc>
          <w:tcPr>
            <w:tcW w:w="992" w:type="dxa"/>
            <w:tcBorders>
              <w:top w:val="nil"/>
              <w:left w:val="nil"/>
              <w:bottom w:val="single" w:sz="4" w:space="0" w:color="auto"/>
              <w:right w:val="single" w:sz="4" w:space="0" w:color="auto"/>
            </w:tcBorders>
            <w:shd w:val="clear" w:color="auto" w:fill="auto"/>
            <w:noWrap/>
            <w:vAlign w:val="center"/>
          </w:tcPr>
          <w:p w14:paraId="3268602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3.6 </w:t>
            </w:r>
          </w:p>
        </w:tc>
        <w:tc>
          <w:tcPr>
            <w:tcW w:w="934" w:type="dxa"/>
            <w:tcBorders>
              <w:top w:val="nil"/>
              <w:left w:val="nil"/>
              <w:bottom w:val="single" w:sz="4" w:space="0" w:color="auto"/>
              <w:right w:val="single" w:sz="4" w:space="0" w:color="auto"/>
            </w:tcBorders>
            <w:shd w:val="clear" w:color="auto" w:fill="auto"/>
            <w:noWrap/>
            <w:vAlign w:val="center"/>
          </w:tcPr>
          <w:p w14:paraId="693CEF6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3.8 </w:t>
            </w:r>
          </w:p>
        </w:tc>
        <w:tc>
          <w:tcPr>
            <w:tcW w:w="1007" w:type="dxa"/>
            <w:tcBorders>
              <w:top w:val="nil"/>
              <w:left w:val="nil"/>
              <w:bottom w:val="single" w:sz="4" w:space="0" w:color="auto"/>
              <w:right w:val="nil"/>
            </w:tcBorders>
            <w:shd w:val="clear" w:color="auto" w:fill="auto"/>
            <w:noWrap/>
            <w:vAlign w:val="center"/>
          </w:tcPr>
          <w:p w14:paraId="61B9810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8.9 </w:t>
            </w:r>
          </w:p>
        </w:tc>
      </w:tr>
      <w:tr w:rsidR="005562B3" w14:paraId="45E8409A"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7938CDA2"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1335B99D"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成都</w:t>
            </w:r>
          </w:p>
        </w:tc>
        <w:tc>
          <w:tcPr>
            <w:tcW w:w="876" w:type="dxa"/>
            <w:tcBorders>
              <w:top w:val="nil"/>
              <w:left w:val="nil"/>
              <w:bottom w:val="single" w:sz="4" w:space="0" w:color="auto"/>
              <w:right w:val="single" w:sz="4" w:space="0" w:color="auto"/>
            </w:tcBorders>
            <w:shd w:val="clear" w:color="auto" w:fill="auto"/>
            <w:noWrap/>
            <w:vAlign w:val="center"/>
          </w:tcPr>
          <w:p w14:paraId="0F1E75F5"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13.7 </w:t>
            </w:r>
          </w:p>
        </w:tc>
        <w:tc>
          <w:tcPr>
            <w:tcW w:w="850" w:type="dxa"/>
            <w:tcBorders>
              <w:top w:val="nil"/>
              <w:left w:val="nil"/>
              <w:bottom w:val="single" w:sz="4" w:space="0" w:color="auto"/>
              <w:right w:val="single" w:sz="4" w:space="0" w:color="auto"/>
            </w:tcBorders>
            <w:shd w:val="clear" w:color="auto" w:fill="auto"/>
            <w:noWrap/>
            <w:vAlign w:val="center"/>
          </w:tcPr>
          <w:p w14:paraId="1E9FFB24"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19.3 </w:t>
            </w:r>
          </w:p>
        </w:tc>
        <w:tc>
          <w:tcPr>
            <w:tcW w:w="851" w:type="dxa"/>
            <w:tcBorders>
              <w:top w:val="nil"/>
              <w:left w:val="nil"/>
              <w:bottom w:val="single" w:sz="4" w:space="0" w:color="auto"/>
              <w:right w:val="single" w:sz="4" w:space="0" w:color="auto"/>
            </w:tcBorders>
            <w:shd w:val="clear" w:color="auto" w:fill="auto"/>
            <w:noWrap/>
            <w:vAlign w:val="center"/>
          </w:tcPr>
          <w:p w14:paraId="7A72645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11.3 </w:t>
            </w:r>
          </w:p>
        </w:tc>
        <w:tc>
          <w:tcPr>
            <w:tcW w:w="850" w:type="dxa"/>
            <w:tcBorders>
              <w:top w:val="nil"/>
              <w:left w:val="nil"/>
              <w:bottom w:val="single" w:sz="4" w:space="0" w:color="auto"/>
              <w:right w:val="single" w:sz="4" w:space="0" w:color="auto"/>
            </w:tcBorders>
            <w:shd w:val="clear" w:color="auto" w:fill="auto"/>
            <w:noWrap/>
            <w:vAlign w:val="center"/>
          </w:tcPr>
          <w:p w14:paraId="117FB29A"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11.8 </w:t>
            </w:r>
          </w:p>
        </w:tc>
        <w:tc>
          <w:tcPr>
            <w:tcW w:w="992" w:type="dxa"/>
            <w:tcBorders>
              <w:top w:val="nil"/>
              <w:left w:val="nil"/>
              <w:bottom w:val="single" w:sz="4" w:space="0" w:color="auto"/>
              <w:right w:val="single" w:sz="4" w:space="0" w:color="auto"/>
            </w:tcBorders>
            <w:shd w:val="clear" w:color="auto" w:fill="auto"/>
            <w:noWrap/>
            <w:vAlign w:val="center"/>
          </w:tcPr>
          <w:p w14:paraId="6AF3676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11.3 </w:t>
            </w:r>
          </w:p>
        </w:tc>
        <w:tc>
          <w:tcPr>
            <w:tcW w:w="1051" w:type="dxa"/>
            <w:tcBorders>
              <w:top w:val="nil"/>
              <w:left w:val="nil"/>
              <w:bottom w:val="single" w:sz="4" w:space="0" w:color="auto"/>
              <w:right w:val="single" w:sz="4" w:space="0" w:color="auto"/>
            </w:tcBorders>
            <w:shd w:val="clear" w:color="auto" w:fill="auto"/>
            <w:noWrap/>
            <w:vAlign w:val="center"/>
          </w:tcPr>
          <w:p w14:paraId="16D1DF3D"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12.8 </w:t>
            </w:r>
          </w:p>
        </w:tc>
        <w:tc>
          <w:tcPr>
            <w:tcW w:w="992" w:type="dxa"/>
            <w:tcBorders>
              <w:top w:val="nil"/>
              <w:left w:val="nil"/>
              <w:bottom w:val="single" w:sz="4" w:space="0" w:color="auto"/>
              <w:right w:val="single" w:sz="4" w:space="0" w:color="auto"/>
            </w:tcBorders>
            <w:shd w:val="clear" w:color="auto" w:fill="auto"/>
            <w:noWrap/>
            <w:vAlign w:val="center"/>
          </w:tcPr>
          <w:p w14:paraId="0C6DE95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13.2 </w:t>
            </w:r>
          </w:p>
        </w:tc>
        <w:tc>
          <w:tcPr>
            <w:tcW w:w="934" w:type="dxa"/>
            <w:tcBorders>
              <w:top w:val="nil"/>
              <w:left w:val="nil"/>
              <w:bottom w:val="single" w:sz="4" w:space="0" w:color="auto"/>
              <w:right w:val="single" w:sz="4" w:space="0" w:color="auto"/>
            </w:tcBorders>
            <w:shd w:val="clear" w:color="auto" w:fill="auto"/>
            <w:noWrap/>
            <w:vAlign w:val="center"/>
          </w:tcPr>
          <w:p w14:paraId="6F9CD78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13.6 </w:t>
            </w:r>
          </w:p>
        </w:tc>
        <w:tc>
          <w:tcPr>
            <w:tcW w:w="1007" w:type="dxa"/>
            <w:tcBorders>
              <w:top w:val="nil"/>
              <w:left w:val="nil"/>
              <w:bottom w:val="single" w:sz="4" w:space="0" w:color="auto"/>
              <w:right w:val="nil"/>
            </w:tcBorders>
            <w:shd w:val="clear" w:color="auto" w:fill="auto"/>
            <w:noWrap/>
            <w:vAlign w:val="center"/>
          </w:tcPr>
          <w:p w14:paraId="6F05A06C"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16.2 </w:t>
            </w:r>
          </w:p>
        </w:tc>
      </w:tr>
      <w:tr w:rsidR="005562B3" w14:paraId="7156B5D8"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7A03270A"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65FD9554"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宁波</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4C56AA88"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31.1 </w:t>
            </w:r>
          </w:p>
        </w:tc>
        <w:tc>
          <w:tcPr>
            <w:tcW w:w="850" w:type="dxa"/>
            <w:tcBorders>
              <w:top w:val="nil"/>
              <w:left w:val="nil"/>
              <w:bottom w:val="single" w:sz="4" w:space="0" w:color="auto"/>
              <w:right w:val="single" w:sz="4" w:space="0" w:color="auto"/>
            </w:tcBorders>
            <w:shd w:val="clear" w:color="auto" w:fill="auto"/>
            <w:noWrap/>
            <w:vAlign w:val="center"/>
          </w:tcPr>
          <w:p w14:paraId="33D8F647"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17.8 </w:t>
            </w:r>
          </w:p>
        </w:tc>
        <w:tc>
          <w:tcPr>
            <w:tcW w:w="851" w:type="dxa"/>
            <w:tcBorders>
              <w:top w:val="nil"/>
              <w:left w:val="nil"/>
              <w:bottom w:val="single" w:sz="4" w:space="0" w:color="auto"/>
              <w:right w:val="single" w:sz="4" w:space="0" w:color="auto"/>
            </w:tcBorders>
            <w:shd w:val="clear" w:color="auto" w:fill="auto"/>
            <w:noWrap/>
            <w:vAlign w:val="center"/>
          </w:tcPr>
          <w:p w14:paraId="256CD796"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15.6 </w:t>
            </w:r>
          </w:p>
        </w:tc>
        <w:tc>
          <w:tcPr>
            <w:tcW w:w="850" w:type="dxa"/>
            <w:tcBorders>
              <w:top w:val="nil"/>
              <w:left w:val="nil"/>
              <w:bottom w:val="single" w:sz="4" w:space="0" w:color="auto"/>
              <w:right w:val="single" w:sz="4" w:space="0" w:color="auto"/>
            </w:tcBorders>
            <w:shd w:val="clear" w:color="auto" w:fill="auto"/>
            <w:noWrap/>
            <w:vAlign w:val="center"/>
          </w:tcPr>
          <w:p w14:paraId="5B976E8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12.4 </w:t>
            </w:r>
          </w:p>
        </w:tc>
        <w:tc>
          <w:tcPr>
            <w:tcW w:w="992" w:type="dxa"/>
            <w:tcBorders>
              <w:top w:val="nil"/>
              <w:left w:val="nil"/>
              <w:bottom w:val="single" w:sz="4" w:space="0" w:color="auto"/>
              <w:right w:val="single" w:sz="4" w:space="0" w:color="auto"/>
            </w:tcBorders>
            <w:shd w:val="clear" w:color="auto" w:fill="auto"/>
            <w:noWrap/>
            <w:vAlign w:val="center"/>
          </w:tcPr>
          <w:p w14:paraId="5B7742F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13.6 </w:t>
            </w:r>
          </w:p>
        </w:tc>
        <w:tc>
          <w:tcPr>
            <w:tcW w:w="1051" w:type="dxa"/>
            <w:tcBorders>
              <w:top w:val="nil"/>
              <w:left w:val="nil"/>
              <w:bottom w:val="single" w:sz="4" w:space="0" w:color="auto"/>
              <w:right w:val="single" w:sz="4" w:space="0" w:color="auto"/>
            </w:tcBorders>
            <w:shd w:val="clear" w:color="auto" w:fill="auto"/>
            <w:noWrap/>
            <w:vAlign w:val="center"/>
          </w:tcPr>
          <w:p w14:paraId="09512AD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14.4 </w:t>
            </w:r>
          </w:p>
        </w:tc>
        <w:tc>
          <w:tcPr>
            <w:tcW w:w="992" w:type="dxa"/>
            <w:tcBorders>
              <w:top w:val="nil"/>
              <w:left w:val="nil"/>
              <w:bottom w:val="single" w:sz="4" w:space="0" w:color="auto"/>
              <w:right w:val="single" w:sz="4" w:space="0" w:color="auto"/>
            </w:tcBorders>
            <w:shd w:val="clear" w:color="auto" w:fill="auto"/>
            <w:noWrap/>
            <w:vAlign w:val="center"/>
          </w:tcPr>
          <w:p w14:paraId="09E45E0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11.0 </w:t>
            </w:r>
          </w:p>
        </w:tc>
        <w:tc>
          <w:tcPr>
            <w:tcW w:w="934" w:type="dxa"/>
            <w:tcBorders>
              <w:top w:val="nil"/>
              <w:left w:val="nil"/>
              <w:bottom w:val="single" w:sz="4" w:space="0" w:color="auto"/>
              <w:right w:val="single" w:sz="4" w:space="0" w:color="auto"/>
            </w:tcBorders>
            <w:shd w:val="clear" w:color="auto" w:fill="auto"/>
            <w:noWrap/>
            <w:vAlign w:val="center"/>
          </w:tcPr>
          <w:p w14:paraId="18F8250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18.6 </w:t>
            </w:r>
          </w:p>
        </w:tc>
        <w:tc>
          <w:tcPr>
            <w:tcW w:w="1007" w:type="dxa"/>
            <w:tcBorders>
              <w:top w:val="nil"/>
              <w:left w:val="nil"/>
              <w:bottom w:val="single" w:sz="4" w:space="0" w:color="auto"/>
              <w:right w:val="nil"/>
            </w:tcBorders>
            <w:shd w:val="clear" w:color="auto" w:fill="auto"/>
            <w:noWrap/>
            <w:vAlign w:val="center"/>
          </w:tcPr>
          <w:p w14:paraId="02B192BB"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14.2 </w:t>
            </w:r>
          </w:p>
        </w:tc>
      </w:tr>
      <w:tr w:rsidR="005562B3" w14:paraId="4CA72251"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268B1C3B"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41C6B81C"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上海</w:t>
            </w:r>
          </w:p>
        </w:tc>
        <w:tc>
          <w:tcPr>
            <w:tcW w:w="876"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7F91D83E" w14:textId="77777777" w:rsidR="005562B3" w:rsidRDefault="005562B3" w:rsidP="00B44D37">
            <w:pPr>
              <w:widowControl/>
              <w:jc w:val="center"/>
              <w:rPr>
                <w:rFonts w:ascii="宋体" w:eastAsia="宋体" w:hAnsi="宋体" w:cs="宋体"/>
                <w:color w:val="9C0006"/>
                <w:kern w:val="0"/>
                <w:sz w:val="20"/>
                <w:szCs w:val="20"/>
              </w:rPr>
            </w:pPr>
            <w:r>
              <w:rPr>
                <w:rFonts w:ascii="宋体" w:eastAsia="宋体" w:hAnsi="宋体" w:cs="宋体" w:hint="eastAsia"/>
                <w:color w:val="9C0006"/>
                <w:kern w:val="0"/>
                <w:sz w:val="20"/>
                <w:szCs w:val="20"/>
              </w:rPr>
              <w:t xml:space="preserve">59.3 </w:t>
            </w:r>
          </w:p>
        </w:tc>
        <w:tc>
          <w:tcPr>
            <w:tcW w:w="850" w:type="dxa"/>
            <w:tcBorders>
              <w:top w:val="nil"/>
              <w:left w:val="nil"/>
              <w:bottom w:val="single" w:sz="4" w:space="0" w:color="auto"/>
              <w:right w:val="single" w:sz="4" w:space="0" w:color="auto"/>
            </w:tcBorders>
            <w:shd w:val="clear" w:color="auto" w:fill="auto"/>
            <w:noWrap/>
            <w:vAlign w:val="center"/>
          </w:tcPr>
          <w:p w14:paraId="1921CD1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10.7 </w:t>
            </w:r>
          </w:p>
        </w:tc>
        <w:tc>
          <w:tcPr>
            <w:tcW w:w="851" w:type="dxa"/>
            <w:tcBorders>
              <w:top w:val="nil"/>
              <w:left w:val="nil"/>
              <w:bottom w:val="single" w:sz="4" w:space="0" w:color="auto"/>
              <w:right w:val="single" w:sz="4" w:space="0" w:color="auto"/>
            </w:tcBorders>
            <w:shd w:val="clear" w:color="auto" w:fill="auto"/>
            <w:noWrap/>
            <w:vAlign w:val="center"/>
          </w:tcPr>
          <w:p w14:paraId="40C4D978"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6.8 </w:t>
            </w:r>
          </w:p>
        </w:tc>
        <w:tc>
          <w:tcPr>
            <w:tcW w:w="850" w:type="dxa"/>
            <w:tcBorders>
              <w:top w:val="nil"/>
              <w:left w:val="nil"/>
              <w:bottom w:val="single" w:sz="4" w:space="0" w:color="auto"/>
              <w:right w:val="single" w:sz="4" w:space="0" w:color="auto"/>
            </w:tcBorders>
            <w:shd w:val="clear" w:color="auto" w:fill="auto"/>
            <w:noWrap/>
            <w:vAlign w:val="center"/>
          </w:tcPr>
          <w:p w14:paraId="5AD7B7B2"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5.8 </w:t>
            </w:r>
          </w:p>
        </w:tc>
        <w:tc>
          <w:tcPr>
            <w:tcW w:w="992" w:type="dxa"/>
            <w:tcBorders>
              <w:top w:val="nil"/>
              <w:left w:val="nil"/>
              <w:bottom w:val="single" w:sz="4" w:space="0" w:color="auto"/>
              <w:right w:val="single" w:sz="4" w:space="0" w:color="auto"/>
            </w:tcBorders>
            <w:shd w:val="clear" w:color="auto" w:fill="auto"/>
            <w:noWrap/>
            <w:vAlign w:val="center"/>
          </w:tcPr>
          <w:p w14:paraId="20AEFF1C"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4.4 </w:t>
            </w:r>
          </w:p>
        </w:tc>
        <w:tc>
          <w:tcPr>
            <w:tcW w:w="1051" w:type="dxa"/>
            <w:tcBorders>
              <w:top w:val="nil"/>
              <w:left w:val="nil"/>
              <w:bottom w:val="single" w:sz="4" w:space="0" w:color="auto"/>
              <w:right w:val="single" w:sz="4" w:space="0" w:color="auto"/>
            </w:tcBorders>
            <w:shd w:val="clear" w:color="auto" w:fill="auto"/>
            <w:noWrap/>
            <w:vAlign w:val="center"/>
          </w:tcPr>
          <w:p w14:paraId="747D87AC"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6.5 </w:t>
            </w:r>
          </w:p>
        </w:tc>
        <w:tc>
          <w:tcPr>
            <w:tcW w:w="992" w:type="dxa"/>
            <w:tcBorders>
              <w:top w:val="nil"/>
              <w:left w:val="nil"/>
              <w:bottom w:val="single" w:sz="4" w:space="0" w:color="auto"/>
              <w:right w:val="single" w:sz="4" w:space="0" w:color="auto"/>
            </w:tcBorders>
            <w:shd w:val="clear" w:color="auto" w:fill="auto"/>
            <w:noWrap/>
            <w:vAlign w:val="center"/>
          </w:tcPr>
          <w:p w14:paraId="0ECABBA9"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4.8 </w:t>
            </w:r>
          </w:p>
        </w:tc>
        <w:tc>
          <w:tcPr>
            <w:tcW w:w="934" w:type="dxa"/>
            <w:tcBorders>
              <w:top w:val="nil"/>
              <w:left w:val="nil"/>
              <w:bottom w:val="single" w:sz="4" w:space="0" w:color="auto"/>
              <w:right w:val="single" w:sz="4" w:space="0" w:color="auto"/>
            </w:tcBorders>
            <w:shd w:val="clear" w:color="auto" w:fill="auto"/>
            <w:noWrap/>
            <w:vAlign w:val="center"/>
          </w:tcPr>
          <w:p w14:paraId="128E04B6"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4.9 </w:t>
            </w:r>
          </w:p>
        </w:tc>
        <w:tc>
          <w:tcPr>
            <w:tcW w:w="1007" w:type="dxa"/>
            <w:tcBorders>
              <w:top w:val="nil"/>
              <w:left w:val="nil"/>
              <w:bottom w:val="single" w:sz="4" w:space="0" w:color="auto"/>
              <w:right w:val="nil"/>
            </w:tcBorders>
            <w:shd w:val="clear" w:color="auto" w:fill="auto"/>
            <w:noWrap/>
            <w:vAlign w:val="center"/>
          </w:tcPr>
          <w:p w14:paraId="6D576413"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14.7 </w:t>
            </w:r>
          </w:p>
        </w:tc>
      </w:tr>
      <w:tr w:rsidR="005562B3" w14:paraId="4BFF44B0" w14:textId="77777777" w:rsidTr="00B44D37">
        <w:trPr>
          <w:trHeight w:val="270"/>
          <w:jc w:val="center"/>
        </w:trPr>
        <w:tc>
          <w:tcPr>
            <w:tcW w:w="907" w:type="dxa"/>
            <w:vMerge/>
            <w:tcBorders>
              <w:top w:val="nil"/>
              <w:left w:val="nil"/>
              <w:bottom w:val="single" w:sz="4" w:space="0" w:color="auto"/>
              <w:right w:val="single" w:sz="4" w:space="0" w:color="auto"/>
            </w:tcBorders>
            <w:vAlign w:val="center"/>
          </w:tcPr>
          <w:p w14:paraId="42DC492E" w14:textId="77777777" w:rsidR="005562B3" w:rsidRDefault="005562B3" w:rsidP="00B44D37">
            <w:pPr>
              <w:widowControl/>
              <w:jc w:val="left"/>
              <w:rPr>
                <w:rFonts w:ascii="宋体" w:eastAsia="宋体" w:hAnsi="宋体" w:cs="宋体"/>
                <w:color w:val="000000"/>
                <w:kern w:val="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14:paraId="17F035B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宁德</w:t>
            </w:r>
          </w:p>
        </w:tc>
        <w:tc>
          <w:tcPr>
            <w:tcW w:w="876" w:type="dxa"/>
            <w:tcBorders>
              <w:top w:val="nil"/>
              <w:left w:val="nil"/>
              <w:bottom w:val="single" w:sz="4" w:space="0" w:color="auto"/>
              <w:right w:val="single" w:sz="4" w:space="0" w:color="auto"/>
            </w:tcBorders>
            <w:shd w:val="clear" w:color="auto" w:fill="auto"/>
            <w:noWrap/>
            <w:vAlign w:val="center"/>
          </w:tcPr>
          <w:p w14:paraId="754881D1"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21.7 </w:t>
            </w:r>
          </w:p>
        </w:tc>
        <w:tc>
          <w:tcPr>
            <w:tcW w:w="850" w:type="dxa"/>
            <w:tcBorders>
              <w:top w:val="nil"/>
              <w:left w:val="nil"/>
              <w:bottom w:val="single" w:sz="4" w:space="0" w:color="auto"/>
              <w:right w:val="single" w:sz="4" w:space="0" w:color="auto"/>
            </w:tcBorders>
            <w:shd w:val="clear" w:color="auto" w:fill="auto"/>
            <w:noWrap/>
            <w:vAlign w:val="center"/>
          </w:tcPr>
          <w:p w14:paraId="79A929C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1.7 </w:t>
            </w:r>
          </w:p>
        </w:tc>
        <w:tc>
          <w:tcPr>
            <w:tcW w:w="851" w:type="dxa"/>
            <w:tcBorders>
              <w:top w:val="nil"/>
              <w:left w:val="nil"/>
              <w:bottom w:val="single" w:sz="4" w:space="0" w:color="auto"/>
              <w:right w:val="single" w:sz="4" w:space="0" w:color="auto"/>
            </w:tcBorders>
            <w:shd w:val="clear" w:color="auto" w:fill="auto"/>
            <w:noWrap/>
            <w:vAlign w:val="center"/>
          </w:tcPr>
          <w:p w14:paraId="69B5BFD7"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12.7 </w:t>
            </w:r>
          </w:p>
        </w:tc>
        <w:tc>
          <w:tcPr>
            <w:tcW w:w="850" w:type="dxa"/>
            <w:tcBorders>
              <w:top w:val="nil"/>
              <w:left w:val="nil"/>
              <w:bottom w:val="single" w:sz="4" w:space="0" w:color="auto"/>
              <w:right w:val="single" w:sz="4" w:space="0" w:color="auto"/>
            </w:tcBorders>
            <w:shd w:val="clear" w:color="auto" w:fill="auto"/>
            <w:noWrap/>
            <w:vAlign w:val="center"/>
          </w:tcPr>
          <w:p w14:paraId="7C8D8C9E"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4.3 </w:t>
            </w:r>
          </w:p>
        </w:tc>
        <w:tc>
          <w:tcPr>
            <w:tcW w:w="992" w:type="dxa"/>
            <w:tcBorders>
              <w:top w:val="nil"/>
              <w:left w:val="nil"/>
              <w:bottom w:val="single" w:sz="4" w:space="0" w:color="auto"/>
              <w:right w:val="single" w:sz="4" w:space="0" w:color="auto"/>
            </w:tcBorders>
            <w:shd w:val="clear" w:color="auto" w:fill="auto"/>
            <w:noWrap/>
            <w:vAlign w:val="center"/>
          </w:tcPr>
          <w:p w14:paraId="5D5890B8"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1.5 </w:t>
            </w:r>
          </w:p>
        </w:tc>
        <w:tc>
          <w:tcPr>
            <w:tcW w:w="1051" w:type="dxa"/>
            <w:tcBorders>
              <w:top w:val="nil"/>
              <w:left w:val="nil"/>
              <w:bottom w:val="single" w:sz="4" w:space="0" w:color="auto"/>
              <w:right w:val="single" w:sz="4" w:space="0" w:color="auto"/>
            </w:tcBorders>
            <w:shd w:val="clear" w:color="auto" w:fill="auto"/>
            <w:noWrap/>
            <w:vAlign w:val="center"/>
          </w:tcPr>
          <w:p w14:paraId="29B4BE55"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4.3 </w:t>
            </w:r>
          </w:p>
        </w:tc>
        <w:tc>
          <w:tcPr>
            <w:tcW w:w="992" w:type="dxa"/>
            <w:tcBorders>
              <w:top w:val="nil"/>
              <w:left w:val="nil"/>
              <w:bottom w:val="single" w:sz="4" w:space="0" w:color="auto"/>
              <w:right w:val="single" w:sz="4" w:space="0" w:color="auto"/>
            </w:tcBorders>
            <w:shd w:val="clear" w:color="auto" w:fill="auto"/>
            <w:noWrap/>
            <w:vAlign w:val="center"/>
          </w:tcPr>
          <w:p w14:paraId="15F69467"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2.1 </w:t>
            </w:r>
          </w:p>
        </w:tc>
        <w:tc>
          <w:tcPr>
            <w:tcW w:w="934" w:type="dxa"/>
            <w:tcBorders>
              <w:top w:val="nil"/>
              <w:left w:val="nil"/>
              <w:bottom w:val="single" w:sz="4" w:space="0" w:color="auto"/>
              <w:right w:val="single" w:sz="4" w:space="0" w:color="auto"/>
            </w:tcBorders>
            <w:shd w:val="clear" w:color="auto" w:fill="auto"/>
            <w:noWrap/>
            <w:vAlign w:val="center"/>
          </w:tcPr>
          <w:p w14:paraId="2FA7FEDF"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2.4 </w:t>
            </w:r>
          </w:p>
        </w:tc>
        <w:tc>
          <w:tcPr>
            <w:tcW w:w="1007" w:type="dxa"/>
            <w:tcBorders>
              <w:top w:val="nil"/>
              <w:left w:val="nil"/>
              <w:bottom w:val="single" w:sz="4" w:space="0" w:color="auto"/>
              <w:right w:val="nil"/>
            </w:tcBorders>
            <w:shd w:val="clear" w:color="auto" w:fill="auto"/>
            <w:noWrap/>
            <w:vAlign w:val="center"/>
          </w:tcPr>
          <w:p w14:paraId="5AE9877A" w14:textId="77777777" w:rsidR="005562B3" w:rsidRDefault="005562B3" w:rsidP="00B44D37">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2.1 </w:t>
            </w:r>
          </w:p>
        </w:tc>
      </w:tr>
    </w:tbl>
    <w:p w14:paraId="256A10B8" w14:textId="77777777" w:rsidR="00B44D37" w:rsidRPr="00B44D37" w:rsidRDefault="00B44D37" w:rsidP="00B44D37">
      <w:pPr>
        <w:spacing w:line="440" w:lineRule="exact"/>
        <w:ind w:leftChars="100" w:left="210"/>
        <w:jc w:val="right"/>
        <w:rPr>
          <w:rFonts w:ascii="宋体" w:hAnsi="宋体"/>
          <w:b/>
          <w:bCs/>
          <w:sz w:val="20"/>
        </w:rPr>
      </w:pPr>
      <w:r w:rsidRPr="00B44D37">
        <w:rPr>
          <w:rFonts w:ascii="宋体" w:hAnsi="宋体" w:hint="eastAsia"/>
          <w:b/>
          <w:bCs/>
          <w:sz w:val="20"/>
        </w:rPr>
        <w:t>数据来源：CRIC</w:t>
      </w:r>
      <w:r w:rsidRPr="00B44D37">
        <w:rPr>
          <w:rFonts w:ascii="宋体" w:hAnsi="宋体"/>
          <w:b/>
          <w:bCs/>
          <w:sz w:val="20"/>
        </w:rPr>
        <w:t xml:space="preserve"> </w:t>
      </w:r>
    </w:p>
    <w:p w14:paraId="267B28BC" w14:textId="7EF2ECC8" w:rsidR="005562B3" w:rsidRDefault="00F13738" w:rsidP="00B44D37">
      <w:pPr>
        <w:pStyle w:val="00"/>
      </w:pPr>
      <w:bookmarkStart w:id="40" w:name="_Toc128583536"/>
      <w:r>
        <w:rPr>
          <w:rFonts w:hint="eastAsia"/>
        </w:rPr>
        <w:t>2，</w:t>
      </w:r>
      <w:r w:rsidR="005562B3">
        <w:rPr>
          <w:rFonts w:hint="eastAsia"/>
        </w:rPr>
        <w:t>户型：三四房占比高但去化压力可控，一二房、五房两头承压</w:t>
      </w:r>
      <w:bookmarkEnd w:id="40"/>
      <w:r w:rsidR="005D371E">
        <w:rPr>
          <w:rFonts w:hint="eastAsia"/>
        </w:rPr>
        <w:t>（略）</w:t>
      </w:r>
    </w:p>
    <w:p w14:paraId="09BBD60A" w14:textId="422E8787" w:rsidR="005562B3" w:rsidRDefault="005562B3" w:rsidP="005562B3">
      <w:pPr>
        <w:spacing w:line="440" w:lineRule="exact"/>
        <w:jc w:val="left"/>
        <w:outlineLvl w:val="2"/>
        <w:rPr>
          <w:rFonts w:ascii="宋体" w:eastAsia="宋体" w:hAnsi="宋体" w:cs="方正兰亭中黑简体"/>
          <w:b/>
          <w:bCs/>
          <w:szCs w:val="21"/>
        </w:rPr>
      </w:pPr>
      <w:bookmarkStart w:id="41" w:name="_Toc128583537"/>
      <w:r>
        <w:rPr>
          <w:rFonts w:ascii="宋体" w:eastAsia="宋体" w:hAnsi="宋体" w:cs="方正兰亭中黑简体" w:hint="eastAsia"/>
          <w:b/>
          <w:bCs/>
          <w:szCs w:val="21"/>
        </w:rPr>
        <w:t>1</w:t>
      </w:r>
      <w:r w:rsidR="00F13738">
        <w:rPr>
          <w:rFonts w:ascii="宋体" w:eastAsia="宋体" w:hAnsi="宋体" w:cs="方正兰亭中黑简体" w:hint="eastAsia"/>
          <w:b/>
          <w:bCs/>
          <w:szCs w:val="21"/>
        </w:rPr>
        <w:t>）</w:t>
      </w:r>
      <w:r>
        <w:rPr>
          <w:rFonts w:ascii="宋体" w:eastAsia="宋体" w:hAnsi="宋体" w:cs="方正兰亭中黑简体" w:hint="eastAsia"/>
          <w:b/>
          <w:bCs/>
          <w:szCs w:val="21"/>
        </w:rPr>
        <w:t>、能级</w:t>
      </w:r>
      <w:r>
        <w:rPr>
          <w:rFonts w:ascii="宋体" w:eastAsia="宋体" w:hAnsi="宋体" w:cs="方正兰亭中黑简体"/>
          <w:b/>
          <w:bCs/>
          <w:szCs w:val="21"/>
        </w:rPr>
        <w:t>：</w:t>
      </w:r>
      <w:r>
        <w:rPr>
          <w:rFonts w:ascii="宋体" w:eastAsia="宋体" w:hAnsi="宋体" w:cs="方正兰亭中黑简体" w:hint="eastAsia"/>
          <w:b/>
          <w:bCs/>
          <w:szCs w:val="21"/>
        </w:rPr>
        <w:t>一线</w:t>
      </w:r>
      <w:r>
        <w:rPr>
          <w:rFonts w:ascii="宋体" w:eastAsia="宋体" w:hAnsi="宋体" w:cs="方正兰亭中黑简体"/>
          <w:b/>
          <w:bCs/>
          <w:szCs w:val="21"/>
        </w:rPr>
        <w:t>一房</w:t>
      </w:r>
      <w:r>
        <w:rPr>
          <w:rFonts w:ascii="宋体" w:eastAsia="宋体" w:hAnsi="宋体" w:cs="方正兰亭中黑简体" w:hint="eastAsia"/>
          <w:b/>
          <w:bCs/>
          <w:szCs w:val="21"/>
        </w:rPr>
        <w:t>库存压力</w:t>
      </w:r>
      <w:r>
        <w:rPr>
          <w:rFonts w:ascii="宋体" w:eastAsia="宋体" w:hAnsi="宋体" w:cs="方正兰亭中黑简体"/>
          <w:b/>
          <w:bCs/>
          <w:szCs w:val="21"/>
        </w:rPr>
        <w:t>凸显，</w:t>
      </w:r>
      <w:r>
        <w:rPr>
          <w:rFonts w:ascii="宋体" w:eastAsia="宋体" w:hAnsi="宋体" w:cs="方正兰亭中黑简体" w:hint="eastAsia"/>
          <w:b/>
          <w:bCs/>
          <w:szCs w:val="21"/>
        </w:rPr>
        <w:t>二三线一房</w:t>
      </w:r>
      <w:r>
        <w:rPr>
          <w:rFonts w:ascii="宋体" w:eastAsia="宋体" w:hAnsi="宋体" w:cs="方正兰亭中黑简体"/>
          <w:b/>
          <w:bCs/>
          <w:szCs w:val="21"/>
        </w:rPr>
        <w:t>、两房</w:t>
      </w:r>
      <w:r>
        <w:rPr>
          <w:rFonts w:ascii="宋体" w:eastAsia="宋体" w:hAnsi="宋体" w:cs="方正兰亭中黑简体" w:hint="eastAsia"/>
          <w:b/>
          <w:bCs/>
          <w:szCs w:val="21"/>
        </w:rPr>
        <w:t>难去化，三四线</w:t>
      </w:r>
      <w:r>
        <w:rPr>
          <w:rFonts w:ascii="宋体" w:eastAsia="宋体" w:hAnsi="宋体" w:cs="方正兰亭中黑简体"/>
          <w:b/>
          <w:bCs/>
          <w:szCs w:val="21"/>
        </w:rPr>
        <w:t>别墅</w:t>
      </w:r>
      <w:r>
        <w:rPr>
          <w:rFonts w:ascii="宋体" w:eastAsia="宋体" w:hAnsi="宋体" w:cs="方正兰亭中黑简体" w:hint="eastAsia"/>
          <w:b/>
          <w:bCs/>
          <w:szCs w:val="21"/>
        </w:rPr>
        <w:t>库存</w:t>
      </w:r>
      <w:r>
        <w:rPr>
          <w:rFonts w:ascii="宋体" w:eastAsia="宋体" w:hAnsi="宋体" w:cs="方正兰亭中黑简体"/>
          <w:b/>
          <w:bCs/>
          <w:szCs w:val="21"/>
        </w:rPr>
        <w:t>积压</w:t>
      </w:r>
      <w:bookmarkEnd w:id="41"/>
    </w:p>
    <w:p w14:paraId="063071C1" w14:textId="77777777" w:rsidR="005562B3" w:rsidRDefault="005562B3" w:rsidP="005562B3">
      <w:pPr>
        <w:spacing w:line="440" w:lineRule="exact"/>
        <w:jc w:val="left"/>
        <w:outlineLvl w:val="3"/>
        <w:rPr>
          <w:rFonts w:ascii="宋体" w:eastAsia="宋体" w:hAnsi="宋体" w:cs="方正兰亭中黑简体"/>
          <w:b/>
          <w:bCs/>
          <w:szCs w:val="21"/>
        </w:rPr>
      </w:pPr>
      <w:r>
        <w:rPr>
          <w:rFonts w:ascii="宋体" w:eastAsia="宋体" w:hAnsi="宋体" w:cs="方正兰亭中黑简体" w:hint="eastAsia"/>
          <w:b/>
          <w:bCs/>
          <w:szCs w:val="21"/>
        </w:rPr>
        <w:t>（1）三房、四房库存</w:t>
      </w:r>
      <w:r>
        <w:rPr>
          <w:rFonts w:ascii="宋体" w:eastAsia="宋体" w:hAnsi="宋体" w:cs="方正兰亭中黑简体"/>
          <w:b/>
          <w:bCs/>
          <w:szCs w:val="21"/>
        </w:rPr>
        <w:t>占比</w:t>
      </w:r>
      <w:r>
        <w:rPr>
          <w:rFonts w:ascii="宋体" w:eastAsia="宋体" w:hAnsi="宋体" w:cs="方正兰亭中黑简体" w:hint="eastAsia"/>
          <w:b/>
          <w:bCs/>
          <w:szCs w:val="21"/>
        </w:rPr>
        <w:t>分别增至40%、15%以上，一线、三四线一二房库存占比下降</w:t>
      </w:r>
    </w:p>
    <w:p w14:paraId="714A7701" w14:textId="367936B7" w:rsidR="005562B3" w:rsidRDefault="005562B3" w:rsidP="005562B3">
      <w:pPr>
        <w:spacing w:line="440" w:lineRule="exact"/>
        <w:jc w:val="left"/>
        <w:outlineLvl w:val="3"/>
        <w:rPr>
          <w:rFonts w:ascii="宋体" w:eastAsia="宋体" w:hAnsi="宋体" w:cs="方正兰亭中黑简体"/>
          <w:b/>
          <w:bCs/>
          <w:szCs w:val="21"/>
        </w:rPr>
      </w:pPr>
      <w:r>
        <w:rPr>
          <w:rFonts w:ascii="宋体" w:eastAsia="宋体" w:hAnsi="宋体" w:cs="方正兰亭中黑简体" w:hint="eastAsia"/>
          <w:b/>
          <w:bCs/>
          <w:szCs w:val="21"/>
        </w:rPr>
        <w:t>（2）一二线三四房库存消化无忧，一房、五房</w:t>
      </w:r>
      <w:r w:rsidR="000F5D24">
        <w:rPr>
          <w:rFonts w:ascii="宋体" w:eastAsia="宋体" w:hAnsi="宋体" w:cs="方正兰亭中黑简体" w:hint="eastAsia"/>
          <w:b/>
          <w:bCs/>
          <w:szCs w:val="21"/>
        </w:rPr>
        <w:t>成为各能级</w:t>
      </w:r>
      <w:r>
        <w:rPr>
          <w:rFonts w:ascii="宋体" w:eastAsia="宋体" w:hAnsi="宋体" w:cs="Times New Roman"/>
          <w:b/>
        </w:rPr>
        <w:t>库存积压“</w:t>
      </w:r>
      <w:r>
        <w:rPr>
          <w:rFonts w:ascii="宋体" w:eastAsia="宋体" w:hAnsi="宋体" w:cs="Times New Roman" w:hint="eastAsia"/>
          <w:b/>
        </w:rPr>
        <w:t>重灾区</w:t>
      </w:r>
      <w:r>
        <w:rPr>
          <w:rFonts w:ascii="宋体" w:eastAsia="宋体" w:hAnsi="宋体" w:cs="Times New Roman"/>
          <w:b/>
        </w:rPr>
        <w:t>”</w:t>
      </w:r>
    </w:p>
    <w:p w14:paraId="4FD82A2D" w14:textId="56588711" w:rsidR="005562B3" w:rsidRDefault="005562B3" w:rsidP="005562B3">
      <w:pPr>
        <w:spacing w:line="440" w:lineRule="exact"/>
        <w:jc w:val="left"/>
        <w:outlineLvl w:val="2"/>
        <w:rPr>
          <w:rFonts w:ascii="宋体" w:eastAsia="宋体" w:hAnsi="宋体" w:cs="方正兰亭中黑简体"/>
          <w:b/>
          <w:bCs/>
          <w:szCs w:val="21"/>
        </w:rPr>
      </w:pPr>
      <w:bookmarkStart w:id="42" w:name="_Toc128583538"/>
      <w:r>
        <w:rPr>
          <w:rFonts w:ascii="宋体" w:eastAsia="宋体" w:hAnsi="宋体" w:cs="方正兰亭中黑简体" w:hint="eastAsia"/>
          <w:b/>
          <w:bCs/>
          <w:szCs w:val="21"/>
        </w:rPr>
        <w:t>2</w:t>
      </w:r>
      <w:r w:rsidR="00F13738">
        <w:rPr>
          <w:rFonts w:ascii="宋体" w:eastAsia="宋体" w:hAnsi="宋体" w:cs="方正兰亭中黑简体" w:hint="eastAsia"/>
          <w:b/>
          <w:bCs/>
          <w:szCs w:val="21"/>
        </w:rPr>
        <w:t>）</w:t>
      </w:r>
      <w:r>
        <w:rPr>
          <w:rFonts w:ascii="宋体" w:eastAsia="宋体" w:hAnsi="宋体" w:cs="方正兰亭中黑简体" w:hint="eastAsia"/>
          <w:b/>
          <w:bCs/>
          <w:szCs w:val="21"/>
        </w:rPr>
        <w:t>、城市：</w:t>
      </w:r>
      <w:r w:rsidRPr="00112E11">
        <w:rPr>
          <w:rFonts w:ascii="宋体" w:eastAsia="宋体" w:hAnsi="宋体" w:cs="方正兰亭中黑简体" w:hint="eastAsia"/>
          <w:b/>
          <w:bCs/>
          <w:szCs w:val="21"/>
        </w:rPr>
        <w:t>一二房产品库存压力高企</w:t>
      </w:r>
      <w:r>
        <w:rPr>
          <w:rFonts w:ascii="宋体" w:eastAsia="宋体" w:hAnsi="宋体" w:cs="方正兰亭中黑简体" w:hint="eastAsia"/>
          <w:b/>
          <w:bCs/>
          <w:szCs w:val="21"/>
        </w:rPr>
        <w:t>，</w:t>
      </w:r>
      <w:r w:rsidR="00F13738">
        <w:rPr>
          <w:rFonts w:ascii="宋体" w:eastAsia="宋体" w:hAnsi="宋体" w:cs="方正兰亭中黑简体" w:hint="eastAsia"/>
          <w:b/>
          <w:bCs/>
          <w:szCs w:val="21"/>
        </w:rPr>
        <w:t>惠州、梅州</w:t>
      </w:r>
      <w:r>
        <w:rPr>
          <w:rFonts w:ascii="宋体" w:eastAsia="宋体" w:hAnsi="宋体" w:cs="方正兰亭中黑简体"/>
          <w:b/>
          <w:bCs/>
          <w:szCs w:val="21"/>
        </w:rPr>
        <w:t>等地</w:t>
      </w:r>
      <w:r w:rsidR="00F13738">
        <w:rPr>
          <w:rFonts w:ascii="宋体" w:eastAsia="宋体" w:hAnsi="宋体" w:cs="方正兰亭中黑简体" w:hint="eastAsia"/>
          <w:b/>
          <w:bCs/>
          <w:szCs w:val="21"/>
        </w:rPr>
        <w:t>三、</w:t>
      </w:r>
      <w:r>
        <w:rPr>
          <w:rFonts w:ascii="宋体" w:eastAsia="宋体" w:hAnsi="宋体" w:cs="方正兰亭中黑简体"/>
          <w:b/>
          <w:bCs/>
          <w:szCs w:val="21"/>
        </w:rPr>
        <w:t>四房</w:t>
      </w:r>
      <w:r>
        <w:rPr>
          <w:rFonts w:ascii="宋体" w:eastAsia="宋体" w:hAnsi="宋体" w:cs="方正兰亭中黑简体" w:hint="eastAsia"/>
          <w:b/>
          <w:bCs/>
          <w:szCs w:val="21"/>
        </w:rPr>
        <w:t>去化周期</w:t>
      </w:r>
      <w:r>
        <w:rPr>
          <w:rFonts w:ascii="宋体" w:eastAsia="宋体" w:hAnsi="宋体" w:cs="方正兰亭中黑简体"/>
          <w:b/>
          <w:bCs/>
          <w:szCs w:val="21"/>
        </w:rPr>
        <w:t>超</w:t>
      </w:r>
      <w:r>
        <w:rPr>
          <w:rFonts w:ascii="宋体" w:eastAsia="宋体" w:hAnsi="宋体" w:cs="方正兰亭中黑简体" w:hint="eastAsia"/>
          <w:b/>
          <w:bCs/>
          <w:szCs w:val="21"/>
        </w:rPr>
        <w:t>30个</w:t>
      </w:r>
      <w:r>
        <w:rPr>
          <w:rFonts w:ascii="宋体" w:eastAsia="宋体" w:hAnsi="宋体" w:cs="方正兰亭中黑简体"/>
          <w:b/>
          <w:bCs/>
          <w:szCs w:val="21"/>
        </w:rPr>
        <w:t>月</w:t>
      </w:r>
      <w:bookmarkEnd w:id="42"/>
    </w:p>
    <w:p w14:paraId="77F5EFAD" w14:textId="77777777" w:rsidR="005562B3" w:rsidRDefault="005562B3" w:rsidP="005562B3">
      <w:pPr>
        <w:numPr>
          <w:ilvl w:val="0"/>
          <w:numId w:val="21"/>
        </w:numPr>
        <w:spacing w:line="440" w:lineRule="exact"/>
        <w:jc w:val="left"/>
        <w:outlineLvl w:val="3"/>
        <w:rPr>
          <w:rFonts w:ascii="宋体" w:eastAsia="宋体" w:hAnsi="宋体" w:cs="方正兰亭中黑简体"/>
          <w:b/>
          <w:bCs/>
          <w:szCs w:val="21"/>
        </w:rPr>
      </w:pPr>
      <w:r>
        <w:rPr>
          <w:rFonts w:ascii="宋体" w:eastAsia="宋体" w:hAnsi="宋体" w:cs="方正兰亭中黑简体" w:hint="eastAsia"/>
          <w:b/>
          <w:bCs/>
          <w:szCs w:val="21"/>
        </w:rPr>
        <w:t>核心城市一房、旅居城市两房、返乡型城市三房、高出生率城市四房库存占比高</w:t>
      </w:r>
    </w:p>
    <w:p w14:paraId="1803D130" w14:textId="02FAB807" w:rsidR="005562B3" w:rsidRDefault="005562B3" w:rsidP="005562B3">
      <w:pPr>
        <w:spacing w:line="440" w:lineRule="exact"/>
        <w:jc w:val="left"/>
        <w:outlineLvl w:val="3"/>
        <w:rPr>
          <w:rFonts w:ascii="宋体" w:eastAsia="宋体" w:hAnsi="宋体" w:cs="方正兰亭中黑简体"/>
          <w:b/>
          <w:bCs/>
          <w:szCs w:val="21"/>
        </w:rPr>
      </w:pPr>
      <w:r>
        <w:rPr>
          <w:rFonts w:ascii="宋体" w:eastAsia="宋体" w:hAnsi="宋体" w:cs="方正兰亭中黑简体" w:hint="eastAsia"/>
          <w:b/>
          <w:bCs/>
          <w:szCs w:val="21"/>
        </w:rPr>
        <w:t>（2）</w:t>
      </w:r>
      <w:r w:rsidR="00B24094">
        <w:rPr>
          <w:rFonts w:ascii="宋体" w:eastAsia="宋体" w:hAnsi="宋体" w:cs="方正兰亭中黑简体" w:hint="eastAsia"/>
          <w:b/>
          <w:bCs/>
          <w:szCs w:val="21"/>
        </w:rPr>
        <w:t>多数三四线二房去化缓慢，三房库存风险更为可控</w:t>
      </w:r>
    </w:p>
    <w:p w14:paraId="312F3747" w14:textId="77777777" w:rsidR="005562B3" w:rsidRPr="005D371E" w:rsidRDefault="005562B3" w:rsidP="005562B3">
      <w:pPr>
        <w:widowControl/>
        <w:jc w:val="left"/>
        <w:rPr>
          <w:rFonts w:ascii="宋体" w:eastAsia="宋体" w:hAnsi="宋体"/>
          <w:sz w:val="24"/>
        </w:rPr>
      </w:pPr>
    </w:p>
    <w:p w14:paraId="418DDDDC" w14:textId="48D568D7" w:rsidR="00260EBC" w:rsidRPr="00260EBC" w:rsidRDefault="00260EBC" w:rsidP="00260EBC">
      <w:pPr>
        <w:spacing w:beforeLines="100" w:before="312" w:afterLines="50" w:after="156"/>
        <w:jc w:val="center"/>
        <w:outlineLvl w:val="0"/>
        <w:rPr>
          <w:rFonts w:ascii="黑体" w:eastAsia="黑体" w:hAnsi="黑体"/>
          <w:b/>
          <w:bCs/>
          <w:sz w:val="32"/>
          <w:szCs w:val="32"/>
        </w:rPr>
      </w:pPr>
      <w:bookmarkStart w:id="43" w:name="_Toc128583539"/>
      <w:r w:rsidRPr="00260EBC">
        <w:rPr>
          <w:rFonts w:ascii="黑体" w:eastAsia="黑体" w:hAnsi="黑体" w:hint="eastAsia"/>
          <w:b/>
          <w:bCs/>
          <w:sz w:val="32"/>
          <w:szCs w:val="32"/>
        </w:rPr>
        <w:lastRenderedPageBreak/>
        <w:t>四，</w:t>
      </w:r>
      <w:r>
        <w:rPr>
          <w:rFonts w:ascii="黑体" w:eastAsia="黑体" w:hAnsi="黑体" w:hint="eastAsia"/>
          <w:b/>
          <w:bCs/>
          <w:sz w:val="32"/>
          <w:szCs w:val="32"/>
        </w:rPr>
        <w:t>总结与展望</w:t>
      </w:r>
      <w:bookmarkEnd w:id="43"/>
    </w:p>
    <w:p w14:paraId="4A92ACED" w14:textId="4C4A3895" w:rsidR="00F13738" w:rsidRDefault="00C32B08" w:rsidP="00F13738">
      <w:pPr>
        <w:pStyle w:val="01"/>
      </w:pPr>
      <w:r>
        <w:rPr>
          <w:rFonts w:hint="eastAsia"/>
        </w:rPr>
        <w:t>就各地的库存指标变动情况来看，在新房供给和产品结构的策划上，大多数城市均已较好地做到了“按需定供”，狭义、广义库存指标也因此出现了背离。但是暂缓领取销许速度终究只是一时之举，尤其是对于那些广义消化周期达到</w:t>
      </w:r>
      <w:r w:rsidR="004613AD">
        <w:rPr>
          <w:rFonts w:hint="eastAsia"/>
        </w:rPr>
        <w:t>8年以上的城市，如果销售规模不能快速回复，未来供给侧势必会面临更加严酷的竞争。</w:t>
      </w:r>
    </w:p>
    <w:p w14:paraId="05EE5B23" w14:textId="793890D1" w:rsidR="00584873" w:rsidRDefault="008258F8" w:rsidP="00B44D37">
      <w:pPr>
        <w:pStyle w:val="00"/>
      </w:pPr>
      <w:bookmarkStart w:id="44" w:name="_Toc128583540"/>
      <w:r>
        <w:rPr>
          <w:rFonts w:hint="eastAsia"/>
        </w:rPr>
        <w:t>1，</w:t>
      </w:r>
      <w:r w:rsidR="00B44D37">
        <w:rPr>
          <w:rFonts w:hint="eastAsia"/>
        </w:rPr>
        <w:t>现状特征</w:t>
      </w:r>
      <w:r w:rsidR="000152F4">
        <w:rPr>
          <w:rFonts w:hint="eastAsia"/>
        </w:rPr>
        <w:t>：推案减少</w:t>
      </w:r>
      <w:r w:rsidR="00584873">
        <w:rPr>
          <w:rFonts w:hint="eastAsia"/>
        </w:rPr>
        <w:t>致</w:t>
      </w:r>
      <w:r w:rsidR="005B1044">
        <w:rPr>
          <w:rFonts w:hint="eastAsia"/>
        </w:rPr>
        <w:t>狭义库存假性回落</w:t>
      </w:r>
      <w:r w:rsidR="000152F4">
        <w:rPr>
          <w:rFonts w:hint="eastAsia"/>
        </w:rPr>
        <w:t>，</w:t>
      </w:r>
      <w:r w:rsidR="00584873" w:rsidRPr="00AF4787">
        <w:rPr>
          <w:rFonts w:hint="eastAsia"/>
        </w:rPr>
        <w:t>成交低迷</w:t>
      </w:r>
      <w:r w:rsidR="00584873">
        <w:rPr>
          <w:rFonts w:hint="eastAsia"/>
        </w:rPr>
        <w:t>、广义库存攀升进一步激化供给侧竞争</w:t>
      </w:r>
      <w:bookmarkEnd w:id="44"/>
    </w:p>
    <w:p w14:paraId="38770F4C" w14:textId="0122C121" w:rsidR="00F13738" w:rsidRPr="00F13738" w:rsidRDefault="00F13738" w:rsidP="00F13738">
      <w:pPr>
        <w:pStyle w:val="01"/>
      </w:pPr>
      <w:r>
        <w:rPr>
          <w:rFonts w:hint="eastAsia"/>
        </w:rPr>
        <w:t>自2</w:t>
      </w:r>
      <w:r>
        <w:t>017</w:t>
      </w:r>
      <w:r>
        <w:rPr>
          <w:rFonts w:hint="eastAsia"/>
        </w:rPr>
        <w:t>年住建部、国土资源部联合发文，要求</w:t>
      </w:r>
      <w:r w:rsidRPr="00260EBC">
        <w:rPr>
          <w:rFonts w:hint="eastAsia"/>
        </w:rPr>
        <w:t>供地规模</w:t>
      </w:r>
      <w:r>
        <w:rPr>
          <w:rFonts w:hint="eastAsia"/>
        </w:rPr>
        <w:t>的增加、减少和停止与</w:t>
      </w:r>
      <w:r w:rsidRPr="00260EBC">
        <w:rPr>
          <w:rFonts w:hint="eastAsia"/>
        </w:rPr>
        <w:t>直接消化周期挂钩</w:t>
      </w:r>
      <w:r>
        <w:rPr>
          <w:rFonts w:hint="eastAsia"/>
        </w:rPr>
        <w:t>之后</w:t>
      </w:r>
      <w:r w:rsidRPr="00260EBC">
        <w:rPr>
          <w:rFonts w:hint="eastAsia"/>
        </w:rPr>
        <w:t>，</w:t>
      </w:r>
      <w:r w:rsidR="00CB0FFC">
        <w:rPr>
          <w:rFonts w:hint="eastAsia"/>
        </w:rPr>
        <w:t>库存指标</w:t>
      </w:r>
      <w:r w:rsidRPr="00260EBC">
        <w:rPr>
          <w:rFonts w:hint="eastAsia"/>
        </w:rPr>
        <w:t>已经成为了地方市场调控的悬顶之剑</w:t>
      </w:r>
      <w:r>
        <w:rPr>
          <w:rFonts w:hint="eastAsia"/>
        </w:rPr>
        <w:t>，并且鉴于各城市内部市场的进一步分化，近年来对于消化周期的管理已经进一步细分到了行政区甚至板块。</w:t>
      </w:r>
      <w:r w:rsidRPr="005B1044">
        <w:rPr>
          <w:rFonts w:hint="eastAsia"/>
          <w:b/>
        </w:rPr>
        <w:t>而</w:t>
      </w:r>
      <w:r w:rsidRPr="004E2731">
        <w:rPr>
          <w:rFonts w:hint="eastAsia"/>
          <w:b/>
          <w:bCs/>
        </w:rPr>
        <w:t>在行业销售量的收缩周期中</w:t>
      </w:r>
      <w:r>
        <w:rPr>
          <w:rFonts w:hint="eastAsia"/>
        </w:rPr>
        <w:t>，</w:t>
      </w:r>
      <w:r>
        <w:rPr>
          <w:rFonts w:hint="eastAsia"/>
          <w:b/>
          <w:bCs/>
        </w:rPr>
        <w:t>地方主管部门和房地产项目均</w:t>
      </w:r>
      <w:r w:rsidRPr="004E2731">
        <w:rPr>
          <w:rFonts w:hint="eastAsia"/>
          <w:b/>
          <w:bCs/>
        </w:rPr>
        <w:t>有放缓销许发放和领取的动机</w:t>
      </w:r>
      <w:r>
        <w:rPr>
          <w:rFonts w:hint="eastAsia"/>
        </w:rPr>
        <w:t>，一方面是为了保证地方土地出让基金性收入的平稳有序，另一方面也是为了缩短项目销售期、控制成本，并防止市场信心进一步下滑。</w:t>
      </w:r>
    </w:p>
    <w:p w14:paraId="26DE2BA6" w14:textId="6AA8E9BB" w:rsidR="005B1044" w:rsidRPr="0059633E" w:rsidRDefault="00260EBC" w:rsidP="00F13738">
      <w:pPr>
        <w:pStyle w:val="01"/>
        <w:ind w:firstLine="422"/>
        <w:rPr>
          <w:b/>
        </w:rPr>
      </w:pPr>
      <w:r w:rsidRPr="00260EBC">
        <w:rPr>
          <w:rFonts w:hint="eastAsia"/>
          <w:b/>
        </w:rPr>
        <w:t>2022年典型城市狭义库存规模的</w:t>
      </w:r>
      <w:r>
        <w:rPr>
          <w:rFonts w:hint="eastAsia"/>
          <w:b/>
        </w:rPr>
        <w:t>小幅</w:t>
      </w:r>
      <w:r w:rsidRPr="00260EBC">
        <w:rPr>
          <w:rFonts w:hint="eastAsia"/>
          <w:b/>
        </w:rPr>
        <w:t>下滑， 更多的还是应当视为供给侧技术性调整所致</w:t>
      </w:r>
      <w:r>
        <w:rPr>
          <w:rFonts w:hint="eastAsia"/>
        </w:rPr>
        <w:t>，</w:t>
      </w:r>
      <w:r w:rsidRPr="00260EBC">
        <w:rPr>
          <w:rFonts w:hint="eastAsia"/>
        </w:rPr>
        <w:t>反倒是那些</w:t>
      </w:r>
      <w:r w:rsidRPr="00260EBC">
        <w:rPr>
          <w:rFonts w:hint="eastAsia"/>
          <w:b/>
        </w:rPr>
        <w:t>狭义库存上行，且交易端数据表现较好的城市或个别板块</w:t>
      </w:r>
      <w:r>
        <w:rPr>
          <w:rFonts w:hint="eastAsia"/>
        </w:rPr>
        <w:t>，</w:t>
      </w:r>
      <w:r w:rsidR="005B1044">
        <w:rPr>
          <w:rFonts w:hint="eastAsia"/>
        </w:rPr>
        <w:t>如上海、杭州内圈层等，</w:t>
      </w:r>
      <w:r>
        <w:rPr>
          <w:rFonts w:hint="eastAsia"/>
        </w:rPr>
        <w:t>当下的市场韧性更值得期待</w:t>
      </w:r>
      <w:r w:rsidR="005B1044">
        <w:rPr>
          <w:rFonts w:hint="eastAsia"/>
        </w:rPr>
        <w:t>。但是结合销售规模指标来看，即便供给侧有意识地控制住了新房销许的领取节奏，但是在超预期下滑的成交指标影响下，2022年样本城市的狭义库存</w:t>
      </w:r>
      <w:r w:rsidR="0059633E">
        <w:rPr>
          <w:rFonts w:hint="eastAsia"/>
        </w:rPr>
        <w:t>消化周期</w:t>
      </w:r>
      <w:r w:rsidR="005B1044">
        <w:rPr>
          <w:rFonts w:hint="eastAsia"/>
        </w:rPr>
        <w:t>平均仍增长超过了60%，</w:t>
      </w:r>
      <w:r w:rsidR="0059633E" w:rsidRPr="0059633E">
        <w:rPr>
          <w:rFonts w:hint="eastAsia"/>
          <w:b/>
        </w:rPr>
        <w:t>超过了2014年的前期高点达到20个月，</w:t>
      </w:r>
      <w:r w:rsidR="005B1044" w:rsidRPr="0059633E">
        <w:rPr>
          <w:rFonts w:hint="eastAsia"/>
          <w:b/>
        </w:rPr>
        <w:t>七成的城市消化周期突破了18个月的警戒线。</w:t>
      </w:r>
    </w:p>
    <w:p w14:paraId="664CAD00" w14:textId="662B5D4D" w:rsidR="004A0106" w:rsidRPr="005B1044" w:rsidRDefault="004A0106" w:rsidP="004A0106">
      <w:pPr>
        <w:pStyle w:val="01"/>
        <w:rPr>
          <w:b/>
        </w:rPr>
      </w:pPr>
      <w:r>
        <w:rPr>
          <w:rFonts w:hint="eastAsia"/>
        </w:rPr>
        <w:t>联系广义</w:t>
      </w:r>
      <w:r w:rsidR="00584873">
        <w:rPr>
          <w:rFonts w:hint="eastAsia"/>
        </w:rPr>
        <w:t>库存</w:t>
      </w:r>
      <w:r>
        <w:rPr>
          <w:rFonts w:hint="eastAsia"/>
        </w:rPr>
        <w:t>来看问题更为严峻，</w:t>
      </w:r>
      <w:r w:rsidR="00584873">
        <w:rPr>
          <w:rFonts w:hint="eastAsia"/>
        </w:rPr>
        <w:t>广义消化周期</w:t>
      </w:r>
      <w:r>
        <w:rPr>
          <w:rFonts w:hint="eastAsia"/>
        </w:rPr>
        <w:t>平均同比增幅达到了66%，样本城市平均达到了6年，与我们前期研究中测算的全国在建和待开发项目去化周期相近。</w:t>
      </w:r>
      <w:r w:rsidR="00584873">
        <w:rPr>
          <w:rFonts w:hint="eastAsia"/>
        </w:rPr>
        <w:t>并且广义库存的绝对值也上升了6%，考虑到当前行业成交规模的收窄、以及后期提振市场信心仍需持续进场的新增土地交易，这意味着当下住宅市场供给侧的竞争将进一步激化，也只有那些能够真正符合市场需求、并具有显著产品优势的项目才能脱颖而出，在新的行业秩序建立中占得先机。</w:t>
      </w:r>
    </w:p>
    <w:p w14:paraId="5B0D6676" w14:textId="01031496" w:rsidR="000152F4" w:rsidRDefault="008258F8" w:rsidP="00B44D37">
      <w:pPr>
        <w:pStyle w:val="00"/>
      </w:pPr>
      <w:bookmarkStart w:id="45" w:name="_Toc128583541"/>
      <w:r>
        <w:rPr>
          <w:rFonts w:hint="eastAsia"/>
        </w:rPr>
        <w:t>2，</w:t>
      </w:r>
      <w:r w:rsidR="000152F4" w:rsidRPr="00AF4787">
        <w:rPr>
          <w:rFonts w:hint="eastAsia"/>
        </w:rPr>
        <w:t>城市</w:t>
      </w:r>
      <w:r w:rsidR="00B44D37">
        <w:rPr>
          <w:rFonts w:hint="eastAsia"/>
        </w:rPr>
        <w:t>差异</w:t>
      </w:r>
      <w:r w:rsidR="000152F4" w:rsidRPr="00AF4787">
        <w:rPr>
          <w:rFonts w:hint="eastAsia"/>
        </w:rPr>
        <w:t>：分化进一步加剧，仅少数城市去化周期保持在10个月以内</w:t>
      </w:r>
      <w:bookmarkEnd w:id="45"/>
    </w:p>
    <w:p w14:paraId="7AD978D3" w14:textId="00C7479F" w:rsidR="004A0106" w:rsidRDefault="008258F8" w:rsidP="004A0106">
      <w:pPr>
        <w:pStyle w:val="01"/>
      </w:pPr>
      <w:r>
        <w:rPr>
          <w:rFonts w:hint="eastAsia"/>
        </w:rPr>
        <w:t>在整体狭义和广义</w:t>
      </w:r>
      <w:r w:rsidR="00A635C6">
        <w:rPr>
          <w:rFonts w:hint="eastAsia"/>
        </w:rPr>
        <w:t>消化周期</w:t>
      </w:r>
      <w:r>
        <w:rPr>
          <w:rFonts w:hint="eastAsia"/>
        </w:rPr>
        <w:t>大幅上升的背景之下，各能级、各城市之间表现进一步分化。就城市能级角度而言，</w:t>
      </w:r>
      <w:r w:rsidRPr="008258F8">
        <w:rPr>
          <w:rFonts w:hint="eastAsia"/>
          <w:b/>
        </w:rPr>
        <w:t>一线城市表现依旧最佳</w:t>
      </w:r>
      <w:r>
        <w:rPr>
          <w:rFonts w:hint="eastAsia"/>
        </w:rPr>
        <w:t>，</w:t>
      </w:r>
      <w:r w:rsidR="003B485C" w:rsidRPr="003B485C">
        <w:rPr>
          <w:rFonts w:hint="eastAsia"/>
          <w:b/>
        </w:rPr>
        <w:t>也是各能级城市中唯一狭义消化周期指标低于2014年</w:t>
      </w:r>
      <w:r w:rsidR="003B485C">
        <w:rPr>
          <w:rFonts w:hint="eastAsia"/>
          <w:b/>
        </w:rPr>
        <w:t>的</w:t>
      </w:r>
      <w:r w:rsidR="003B485C" w:rsidRPr="003B485C">
        <w:rPr>
          <w:rFonts w:hint="eastAsia"/>
          <w:b/>
        </w:rPr>
        <w:t>，</w:t>
      </w:r>
      <w:r>
        <w:rPr>
          <w:rFonts w:hint="eastAsia"/>
        </w:rPr>
        <w:t>在充沛的人口指标和稀缺的土地资源两方面作用下，除广州少数远郊板块之外，不论是在土地市场还是在商品住宅的销许领取方面，均表现的更有“底气”，2022年狭义库存、广义库存双双主动上升，狭义、广义消化周期的表现也更为稳健。典型如深圳广义消化周期虽达到了12年以上，但考虑到其可开发土地的日益稀缺，这一指标也应当解读为</w:t>
      </w:r>
      <w:r w:rsidR="000E4E27">
        <w:rPr>
          <w:rFonts w:hint="eastAsia"/>
        </w:rPr>
        <w:t>众多企业提前拿地布局，而非其他负面</w:t>
      </w:r>
      <w:r w:rsidR="003B485C">
        <w:rPr>
          <w:rFonts w:hint="eastAsia"/>
        </w:rPr>
        <w:t>评价</w:t>
      </w:r>
      <w:r w:rsidR="000E4E27">
        <w:rPr>
          <w:rFonts w:hint="eastAsia"/>
        </w:rPr>
        <w:t>。</w:t>
      </w:r>
    </w:p>
    <w:p w14:paraId="32333D87" w14:textId="77777777" w:rsidR="00D763DB" w:rsidRDefault="008258F8" w:rsidP="00D763DB">
      <w:pPr>
        <w:pStyle w:val="01"/>
        <w:ind w:firstLine="422"/>
      </w:pPr>
      <w:r w:rsidRPr="00D763DB">
        <w:rPr>
          <w:rFonts w:hint="eastAsia"/>
          <w:b/>
        </w:rPr>
        <w:lastRenderedPageBreak/>
        <w:t>二</w:t>
      </w:r>
      <w:r w:rsidR="000E4E27" w:rsidRPr="00D763DB">
        <w:rPr>
          <w:rFonts w:hint="eastAsia"/>
          <w:b/>
        </w:rPr>
        <w:t>、</w:t>
      </w:r>
      <w:r w:rsidRPr="00D763DB">
        <w:rPr>
          <w:rFonts w:hint="eastAsia"/>
          <w:b/>
        </w:rPr>
        <w:t>三线城市分化显著</w:t>
      </w:r>
      <w:r>
        <w:rPr>
          <w:rFonts w:hint="eastAsia"/>
        </w:rPr>
        <w:t>，</w:t>
      </w:r>
      <w:r w:rsidR="00D763DB">
        <w:rPr>
          <w:rFonts w:hint="eastAsia"/>
        </w:rPr>
        <w:t>既有去化周期高企的兰州、大连、长春等地，狭义消化周期达到了3年左右或更高，若严格按照宅地五类调控目标，市内均只有少数去化情况较佳的区域或板块可以继续供地；也有</w:t>
      </w:r>
      <w:r>
        <w:rPr>
          <w:rFonts w:hint="eastAsia"/>
        </w:rPr>
        <w:t>狭义消化周期</w:t>
      </w:r>
      <w:r w:rsidR="000E4E27">
        <w:rPr>
          <w:rFonts w:hint="eastAsia"/>
        </w:rPr>
        <w:t>仍在合理范围甚至低位</w:t>
      </w:r>
      <w:r w:rsidR="00D763DB">
        <w:rPr>
          <w:rFonts w:hint="eastAsia"/>
        </w:rPr>
        <w:t>的杭州、</w:t>
      </w:r>
      <w:r w:rsidR="000E4E27">
        <w:rPr>
          <w:rFonts w:hint="eastAsia"/>
        </w:rPr>
        <w:t>苏州、南京、太仓</w:t>
      </w:r>
      <w:r w:rsidR="00D763DB">
        <w:rPr>
          <w:rFonts w:hint="eastAsia"/>
        </w:rPr>
        <w:t>等</w:t>
      </w:r>
      <w:r w:rsidR="000E4E27">
        <w:rPr>
          <w:rFonts w:hint="eastAsia"/>
        </w:rPr>
        <w:t>长三角强市，</w:t>
      </w:r>
      <w:r w:rsidR="00D763DB">
        <w:rPr>
          <w:rFonts w:hint="eastAsia"/>
        </w:rPr>
        <w:t>典型如杭州、合肥由于基期狭义库存较低，在2022年住宅销售同样经历回调的情况下，消化周期依旧维持在10个月以下。</w:t>
      </w:r>
    </w:p>
    <w:p w14:paraId="32C50477" w14:textId="50BA7847" w:rsidR="008258F8" w:rsidRDefault="00D763DB" w:rsidP="00D763DB">
      <w:pPr>
        <w:pStyle w:val="01"/>
      </w:pPr>
      <w:r>
        <w:rPr>
          <w:rFonts w:hint="eastAsia"/>
        </w:rPr>
        <w:t>不过整体来看，二线城市得益于前期销售规模的高位，目前库存规模相对可控，狭义</w:t>
      </w:r>
      <w:r w:rsidR="003B485C">
        <w:rPr>
          <w:rFonts w:hint="eastAsia"/>
        </w:rPr>
        <w:t>库存去化周期与2014年相近</w:t>
      </w:r>
      <w:r>
        <w:rPr>
          <w:rFonts w:hint="eastAsia"/>
        </w:rPr>
        <w:t>、广义库存规模与2020年末相近，三四线城市则出现了“失速”风险，2022年在广义库存较快攀升的基础只上，狭义库存反而出现了下滑，</w:t>
      </w:r>
      <w:r w:rsidR="003B485C">
        <w:rPr>
          <w:rFonts w:hint="eastAsia"/>
        </w:rPr>
        <w:t>且狭义库存消化周期显著高于2014年的前期高点，</w:t>
      </w:r>
      <w:r>
        <w:rPr>
          <w:rFonts w:hint="eastAsia"/>
        </w:rPr>
        <w:t>商品住宅市场供给侧信心严重不足</w:t>
      </w:r>
      <w:r w:rsidR="003B485C">
        <w:rPr>
          <w:rFonts w:hint="eastAsia"/>
        </w:rPr>
        <w:t>。</w:t>
      </w:r>
    </w:p>
    <w:p w14:paraId="2C2093EF" w14:textId="27C349AB" w:rsidR="000152F4" w:rsidRPr="00B44D37" w:rsidRDefault="00087149" w:rsidP="00B44D37">
      <w:pPr>
        <w:pStyle w:val="00"/>
      </w:pPr>
      <w:bookmarkStart w:id="46" w:name="_Toc128583542"/>
      <w:r>
        <w:rPr>
          <w:rFonts w:hint="eastAsia"/>
        </w:rPr>
        <w:t>3，</w:t>
      </w:r>
      <w:r w:rsidR="00B44D37">
        <w:rPr>
          <w:rFonts w:hint="eastAsia"/>
        </w:rPr>
        <w:t>户型结构</w:t>
      </w:r>
      <w:r w:rsidR="00B24094">
        <w:rPr>
          <w:rFonts w:hint="eastAsia"/>
        </w:rPr>
        <w:t>：中大户型产品表现更为</w:t>
      </w:r>
      <w:r w:rsidR="00B44D37" w:rsidRPr="00B44D37">
        <w:rPr>
          <w:rFonts w:hint="eastAsia"/>
        </w:rPr>
        <w:t>稳健</w:t>
      </w:r>
      <w:r w:rsidR="00B24094" w:rsidRPr="00B44D37">
        <w:rPr>
          <w:rFonts w:hint="eastAsia"/>
        </w:rPr>
        <w:t>，</w:t>
      </w:r>
      <w:r w:rsidR="000152F4" w:rsidRPr="00B44D37">
        <w:rPr>
          <w:rFonts w:hint="eastAsia"/>
        </w:rPr>
        <w:t>二房产品库存压力高企</w:t>
      </w:r>
      <w:bookmarkEnd w:id="46"/>
      <w:r w:rsidR="000C4A90">
        <w:rPr>
          <w:rFonts w:hint="eastAsia"/>
        </w:rPr>
        <w:t>（略）</w:t>
      </w:r>
    </w:p>
    <w:p w14:paraId="78D81435" w14:textId="65E8DC46" w:rsidR="000152F4" w:rsidRPr="00AF4787" w:rsidRDefault="00E16A46" w:rsidP="00B44D37">
      <w:pPr>
        <w:pStyle w:val="00"/>
      </w:pPr>
      <w:bookmarkStart w:id="47" w:name="_Toc128583543"/>
      <w:r>
        <w:rPr>
          <w:rFonts w:hint="eastAsia"/>
        </w:rPr>
        <w:t>4，</w:t>
      </w:r>
      <w:r w:rsidR="000152F4" w:rsidRPr="00AF4787">
        <w:rPr>
          <w:rFonts w:hint="eastAsia"/>
        </w:rPr>
        <w:t>趋势预判：预期修复由点至面，各城市、各类产品库存压力亦需分批次缓解</w:t>
      </w:r>
      <w:bookmarkEnd w:id="47"/>
      <w:r w:rsidR="000C4A90">
        <w:rPr>
          <w:rFonts w:hint="eastAsia"/>
        </w:rPr>
        <w:t>（略）</w:t>
      </w:r>
    </w:p>
    <w:p w14:paraId="18CF1A6D" w14:textId="77777777" w:rsidR="003D1FE0" w:rsidRPr="009F56BD" w:rsidRDefault="003D1FE0" w:rsidP="00505531">
      <w:pPr>
        <w:pStyle w:val="01"/>
        <w:ind w:left="420"/>
      </w:pPr>
    </w:p>
    <w:sectPr w:rsidR="003D1FE0" w:rsidRPr="009F56BD" w:rsidSect="00164439">
      <w:headerReference w:type="default" r:id="rId17"/>
      <w:footerReference w:type="default" r:id="rId18"/>
      <w:type w:val="continuous"/>
      <w:pgSz w:w="11906" w:h="16838"/>
      <w:pgMar w:top="1418" w:right="1418" w:bottom="992" w:left="1418" w:header="680" w:footer="45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3C861" w14:textId="77777777" w:rsidR="000A19D2" w:rsidRDefault="000A19D2">
      <w:r>
        <w:separator/>
      </w:r>
    </w:p>
  </w:endnote>
  <w:endnote w:type="continuationSeparator" w:id="0">
    <w:p w14:paraId="1C8CDC8B" w14:textId="77777777" w:rsidR="000A19D2" w:rsidRDefault="000A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方正兰亭中黑简体">
    <w:altName w:val="微软雅黑"/>
    <w:charset w:val="86"/>
    <w:family w:val="auto"/>
    <w:pitch w:val="variable"/>
    <w:sig w:usb0="00000001" w:usb1="080E0000" w:usb2="00000010" w:usb3="00000000" w:csb0="00040000" w:csb1="00000000"/>
  </w:font>
  <w:font w:name="思源黑体 CN Bold">
    <w:altName w:val="Arial Unicode MS"/>
    <w:panose1 w:val="020B0800000000000000"/>
    <w:charset w:val="86"/>
    <w:family w:val="swiss"/>
    <w:notTrueType/>
    <w:pitch w:val="variable"/>
    <w:sig w:usb0="20000207" w:usb1="2ADF3C10" w:usb2="00000016" w:usb3="00000000" w:csb0="00060107" w:csb1="00000000"/>
  </w:font>
  <w:font w:name="思源黑体 Regular">
    <w:altName w:val="微软雅黑"/>
    <w:charset w:val="86"/>
    <w:family w:val="swiss"/>
    <w:pitch w:val="default"/>
    <w:sig w:usb0="00000000" w:usb1="0000000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BC463" w14:textId="4F4503E6" w:rsidR="00105D63" w:rsidRDefault="00105D63">
    <w:pPr>
      <w:rPr>
        <w:rFonts w:ascii="华文细黑" w:eastAsia="华文细黑" w:hAnsi="华文细黑"/>
        <w:b/>
        <w:bCs/>
        <w:color w:val="AF2938"/>
        <w:sz w:val="15"/>
        <w:szCs w:val="15"/>
      </w:rPr>
    </w:pPr>
    <w:r>
      <w:rPr>
        <w:rFonts w:ascii="思源黑体 Regular" w:eastAsia="思源黑体 Regular" w:hAnsi="思源黑体 Regular"/>
        <w:noProof/>
        <w:color w:val="808080"/>
        <w:sz w:val="16"/>
        <w:szCs w:val="18"/>
      </w:rPr>
      <mc:AlternateContent>
        <mc:Choice Requires="wps">
          <w:drawing>
            <wp:anchor distT="0" distB="0" distL="114300" distR="114300" simplePos="0" relativeHeight="251656192" behindDoc="0" locked="0" layoutInCell="1" allowOverlap="1" wp14:anchorId="13E05586" wp14:editId="7A34D540">
              <wp:simplePos x="0" y="0"/>
              <wp:positionH relativeFrom="column">
                <wp:posOffset>-914400</wp:posOffset>
              </wp:positionH>
              <wp:positionV relativeFrom="paragraph">
                <wp:posOffset>-20320</wp:posOffset>
              </wp:positionV>
              <wp:extent cx="7536180" cy="0"/>
              <wp:effectExtent l="9525" t="8255" r="7620" b="1079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6180" cy="0"/>
                      </a:xfrm>
                      <a:prstGeom prst="straightConnector1">
                        <a:avLst/>
                      </a:prstGeom>
                      <a:noFill/>
                      <a:ln w="9525">
                        <a:solidFill>
                          <a:srgbClr val="3A9E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7D7D3" id="_x0000_t32" coordsize="21600,21600" o:spt="32" o:oned="t" path="m,l21600,21600e" filled="f">
              <v:path arrowok="t" fillok="f" o:connecttype="none"/>
              <o:lock v:ext="edit" shapetype="t"/>
            </v:shapetype>
            <v:shape id="AutoShape 11" o:spid="_x0000_s1026" type="#_x0000_t32" style="position:absolute;left:0;text-align:left;margin-left:-1in;margin-top:-1.6pt;width:593.4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" strokecolor="#3a9e95"/>
          </w:pict>
        </mc:Fallback>
      </mc:AlternateContent>
    </w:r>
    <w:r>
      <w:rPr>
        <w:rFonts w:ascii="思源黑体 Regular" w:eastAsia="思源黑体 Regular" w:hAnsi="思源黑体 Regular" w:hint="eastAsia"/>
        <w:color w:val="808080"/>
        <w:sz w:val="16"/>
        <w:szCs w:val="18"/>
      </w:rPr>
      <w:t>版权所有©易居企业集团·克而瑞研究中心</w:t>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思源黑体 Regular" w:eastAsia="思源黑体 Regular" w:hAnsi="思源黑体 Regular"/>
        <w:color w:val="808080"/>
        <w:sz w:val="16"/>
        <w:szCs w:val="18"/>
      </w:rPr>
      <w:tab/>
    </w:r>
    <w:r>
      <w:rPr>
        <w:rFonts w:ascii="微软雅黑" w:eastAsia="微软雅黑" w:hAnsi="微软雅黑"/>
        <w:color w:val="808080"/>
        <w:sz w:val="18"/>
        <w:szCs w:val="18"/>
      </w:rPr>
      <w:fldChar w:fldCharType="begin"/>
    </w:r>
    <w:r>
      <w:rPr>
        <w:rFonts w:ascii="微软雅黑" w:eastAsia="微软雅黑" w:hAnsi="微软雅黑"/>
        <w:color w:val="808080"/>
        <w:sz w:val="18"/>
        <w:szCs w:val="18"/>
      </w:rPr>
      <w:instrText xml:space="preserve"> PAGE </w:instrText>
    </w:r>
    <w:r>
      <w:rPr>
        <w:rFonts w:ascii="微软雅黑" w:eastAsia="微软雅黑" w:hAnsi="微软雅黑"/>
        <w:color w:val="808080"/>
        <w:sz w:val="18"/>
        <w:szCs w:val="18"/>
      </w:rPr>
      <w:fldChar w:fldCharType="separate"/>
    </w:r>
    <w:r w:rsidR="003D30E6">
      <w:rPr>
        <w:rFonts w:ascii="微软雅黑" w:eastAsia="微软雅黑" w:hAnsi="微软雅黑"/>
        <w:noProof/>
        <w:color w:val="808080"/>
        <w:sz w:val="18"/>
        <w:szCs w:val="18"/>
      </w:rPr>
      <w:t>9</w:t>
    </w:r>
    <w:r>
      <w:rPr>
        <w:rFonts w:ascii="微软雅黑" w:eastAsia="微软雅黑" w:hAnsi="微软雅黑"/>
        <w:color w:val="808080"/>
        <w:sz w:val="18"/>
        <w:szCs w:val="18"/>
      </w:rPr>
      <w:fldChar w:fldCharType="end"/>
    </w:r>
    <w:r>
      <w:rPr>
        <w:rFonts w:ascii="微软雅黑" w:eastAsia="微软雅黑" w:hAnsi="微软雅黑"/>
        <w:color w:val="808080"/>
        <w:sz w:val="18"/>
        <w:szCs w:val="18"/>
        <w:lang w:val="zh-CN"/>
      </w:rPr>
      <w:t xml:space="preserve">/ </w:t>
    </w:r>
    <w:r>
      <w:rPr>
        <w:rFonts w:ascii="微软雅黑" w:eastAsia="微软雅黑" w:hAnsi="微软雅黑"/>
        <w:color w:val="808080"/>
        <w:sz w:val="18"/>
        <w:szCs w:val="18"/>
      </w:rPr>
      <w:fldChar w:fldCharType="begin"/>
    </w:r>
    <w:r>
      <w:rPr>
        <w:rFonts w:ascii="微软雅黑" w:eastAsia="微软雅黑" w:hAnsi="微软雅黑"/>
        <w:color w:val="808080"/>
        <w:sz w:val="18"/>
        <w:szCs w:val="18"/>
      </w:rPr>
      <w:instrText xml:space="preserve"> NUMPAGES  </w:instrText>
    </w:r>
    <w:r>
      <w:rPr>
        <w:rFonts w:ascii="微软雅黑" w:eastAsia="微软雅黑" w:hAnsi="微软雅黑"/>
        <w:color w:val="808080"/>
        <w:sz w:val="18"/>
        <w:szCs w:val="18"/>
      </w:rPr>
      <w:fldChar w:fldCharType="separate"/>
    </w:r>
    <w:r w:rsidR="003D30E6">
      <w:rPr>
        <w:rFonts w:ascii="微软雅黑" w:eastAsia="微软雅黑" w:hAnsi="微软雅黑"/>
        <w:noProof/>
        <w:color w:val="808080"/>
        <w:sz w:val="18"/>
        <w:szCs w:val="18"/>
      </w:rPr>
      <w:t>17</w:t>
    </w:r>
    <w:r>
      <w:rPr>
        <w:rFonts w:ascii="微软雅黑" w:eastAsia="微软雅黑" w:hAnsi="微软雅黑"/>
        <w:color w:val="808080"/>
        <w:sz w:val="18"/>
        <w:szCs w:val="18"/>
      </w:rPr>
      <w:fldChar w:fldCharType="end"/>
    </w:r>
  </w:p>
  <w:p w14:paraId="1529F4AA" w14:textId="23B34731" w:rsidR="00105D63" w:rsidRDefault="00105D63">
    <w:pPr>
      <w:pStyle w:val="ad"/>
    </w:pPr>
    <w:r>
      <w:rPr>
        <w:noProof/>
      </w:rPr>
      <mc:AlternateContent>
        <mc:Choice Requires="wps">
          <w:drawing>
            <wp:anchor distT="0" distB="0" distL="114300" distR="114300" simplePos="0" relativeHeight="251655168" behindDoc="0" locked="0" layoutInCell="1" allowOverlap="1" wp14:anchorId="23E2914F" wp14:editId="19711EB2">
              <wp:simplePos x="0" y="0"/>
              <wp:positionH relativeFrom="column">
                <wp:posOffset>-219075</wp:posOffset>
              </wp:positionH>
              <wp:positionV relativeFrom="paragraph">
                <wp:posOffset>9701530</wp:posOffset>
              </wp:positionV>
              <wp:extent cx="7740015" cy="635"/>
              <wp:effectExtent l="0" t="0" r="70485" b="5651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635"/>
                      </a:xfrm>
                      <a:prstGeom prst="rect">
                        <a:avLst/>
                      </a:prstGeom>
                      <a:gradFill rotWithShape="0">
                        <a:gsLst>
                          <a:gs pos="0">
                            <a:srgbClr val="FFFFFF"/>
                          </a:gs>
                          <a:gs pos="100000">
                            <a:srgbClr val="FFFFFF">
                              <a:gamma/>
                              <a:shade val="46275"/>
                              <a:invGamma/>
                            </a:srgbClr>
                          </a:gs>
                        </a:gsLst>
                        <a:lin ang="5400000" scaled="1"/>
                      </a:gradFill>
                      <a:ln w="19050">
                        <a:solidFill>
                          <a:srgbClr val="D9B27F"/>
                        </a:solidFill>
                        <a:miter lim="800000"/>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A93F5" id="矩形 21" o:spid="_x0000_s1026" style="position:absolute;left:0;text-align:left;margin-left:-17.25pt;margin-top:763.9pt;width:609.4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" strokecolor="#d9b27f" strokeweight="1.5pt">
              <v:fill color2="#767676" focus="100%" type="gradient"/>
              <v:shadow on="t" color="#7f7f7f" opacity=".5" offset="1p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79F41" w14:textId="77777777" w:rsidR="000A19D2" w:rsidRDefault="000A19D2">
      <w:r>
        <w:separator/>
      </w:r>
    </w:p>
  </w:footnote>
  <w:footnote w:type="continuationSeparator" w:id="0">
    <w:p w14:paraId="5E14A061" w14:textId="77777777" w:rsidR="000A19D2" w:rsidRDefault="000A1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9F121" w14:textId="25546515" w:rsidR="00105D63" w:rsidRDefault="00105D63" w:rsidP="003E6463">
    <w:r>
      <w:rPr>
        <w:noProof/>
      </w:rPr>
      <mc:AlternateContent>
        <mc:Choice Requires="wps">
          <w:drawing>
            <wp:anchor distT="0" distB="0" distL="114300" distR="114300" simplePos="0" relativeHeight="251659264" behindDoc="0" locked="0" layoutInCell="1" allowOverlap="1" wp14:anchorId="697D32F1" wp14:editId="1F0531CE">
              <wp:simplePos x="0" y="0"/>
              <wp:positionH relativeFrom="column">
                <wp:posOffset>4511040</wp:posOffset>
              </wp:positionH>
              <wp:positionV relativeFrom="paragraph">
                <wp:posOffset>-203200</wp:posOffset>
              </wp:positionV>
              <wp:extent cx="2195195" cy="334645"/>
              <wp:effectExtent l="0" t="0" r="0" b="825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334645"/>
                      </a:xfrm>
                      <a:prstGeom prst="rect">
                        <a:avLst/>
                      </a:prstGeom>
                      <a:noFill/>
                      <a:ln>
                        <a:noFill/>
                      </a:ln>
                    </wps:spPr>
                    <wps:txbx>
                      <w:txbxContent>
                        <w:p w14:paraId="29C1E424" w14:textId="77777777" w:rsidR="00105D63" w:rsidRPr="003411AB" w:rsidRDefault="00105D63" w:rsidP="003E6463">
                          <w:pPr>
                            <w:ind w:firstLineChars="350" w:firstLine="735"/>
                            <w:rPr>
                              <w:rFonts w:ascii="黑体" w:eastAsia="黑体" w:hAnsi="黑体"/>
                              <w:color w:val="808080" w:themeColor="background1" w:themeShade="80"/>
                              <w:szCs w:val="21"/>
                            </w:rPr>
                          </w:pPr>
                          <w:r w:rsidRPr="003411AB">
                            <w:rPr>
                              <w:rFonts w:ascii="黑体" w:eastAsia="黑体" w:hAnsi="黑体" w:hint="eastAsia"/>
                              <w:color w:val="808080" w:themeColor="background1" w:themeShade="80"/>
                              <w:szCs w:val="21"/>
                            </w:rPr>
                            <w:t>克而瑞研究中心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D32F1" id="_x0000_t202" coordsize="21600,21600" o:spt="202" path="m,l,21600r21600,l21600,xe">
              <v:stroke joinstyle="miter"/>
              <v:path gradientshapeok="t" o:connecttype="rect"/>
            </v:shapetype>
            <v:shape id="文本框 17" o:spid="_x0000_s1030" type="#_x0000_t202" style="position:absolute;left:0;text-align:left;margin-left:355.2pt;margin-top:-16pt;width:172.85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" filled="f" stroked="f">
              <v:textbox>
                <w:txbxContent>
                  <w:p w14:paraId="29C1E424" w14:textId="77777777" w:rsidR="00105D63" w:rsidRPr="003411AB" w:rsidRDefault="00105D63" w:rsidP="003E6463">
                    <w:pPr>
                      <w:ind w:firstLineChars="350" w:firstLine="735"/>
                      <w:rPr>
                        <w:rFonts w:ascii="黑体" w:eastAsia="黑体" w:hAnsi="黑体"/>
                        <w:color w:val="808080" w:themeColor="background1" w:themeShade="80"/>
                        <w:szCs w:val="21"/>
                      </w:rPr>
                    </w:pPr>
                    <w:r w:rsidRPr="003411AB">
                      <w:rPr>
                        <w:rFonts w:ascii="黑体" w:eastAsia="黑体" w:hAnsi="黑体" w:hint="eastAsia"/>
                        <w:color w:val="808080" w:themeColor="background1" w:themeShade="80"/>
                        <w:szCs w:val="21"/>
                      </w:rPr>
                      <w:t>克而瑞研究中心</w:t>
                    </w:r>
                  </w:p>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14:anchorId="03183121" wp14:editId="3AF28FF4">
              <wp:simplePos x="0" y="0"/>
              <wp:positionH relativeFrom="column">
                <wp:posOffset>-890270</wp:posOffset>
              </wp:positionH>
              <wp:positionV relativeFrom="paragraph">
                <wp:posOffset>33654</wp:posOffset>
              </wp:positionV>
              <wp:extent cx="7536180" cy="0"/>
              <wp:effectExtent l="0" t="0" r="26670" b="19050"/>
              <wp:wrapNone/>
              <wp:docPr id="16"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6180" cy="0"/>
                      </a:xfrm>
                      <a:prstGeom prst="straightConnector1">
                        <a:avLst/>
                      </a:prstGeom>
                      <a:noFill/>
                      <a:ln w="9525">
                        <a:solidFill>
                          <a:srgbClr val="449EA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48A3055" id="_x0000_t32" coordsize="21600,21600" o:spt="32" o:oned="t" path="m,l21600,21600e" filled="f">
              <v:path arrowok="t" fillok="f" o:connecttype="none"/>
              <o:lock v:ext="edit" shapetype="t"/>
            </v:shapetype>
            <v:shape id="直接箭头连接符 16" o:spid="_x0000_s1026" type="#_x0000_t32" style="position:absolute;left:0;text-align:left;margin-left:-70.1pt;margin-top:2.65pt;width:593.4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" strokecolor="#449ea4"/>
          </w:pict>
        </mc:Fallback>
      </mc:AlternateContent>
    </w:r>
    <w:r>
      <w:rPr>
        <w:noProof/>
      </w:rPr>
      <mc:AlternateContent>
        <mc:Choice Requires="wps">
          <w:drawing>
            <wp:anchor distT="0" distB="0" distL="114300" distR="114300" simplePos="0" relativeHeight="251658240" behindDoc="0" locked="0" layoutInCell="1" allowOverlap="1" wp14:anchorId="52216FD7" wp14:editId="084C1E31">
              <wp:simplePos x="0" y="0"/>
              <wp:positionH relativeFrom="column">
                <wp:posOffset>3256280</wp:posOffset>
              </wp:positionH>
              <wp:positionV relativeFrom="paragraph">
                <wp:posOffset>-100330</wp:posOffset>
              </wp:positionV>
              <wp:extent cx="224155" cy="133985"/>
              <wp:effectExtent l="0" t="0" r="4445" b="0"/>
              <wp:wrapNone/>
              <wp:docPr id="15" name="直角三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33985"/>
                      </a:xfrm>
                      <a:prstGeom prst="rtTriangle">
                        <a:avLst/>
                      </a:prstGeom>
                      <a:solidFill>
                        <a:srgbClr val="449E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09177" id="_x0000_t6" coordsize="21600,21600" o:spt="6" path="m,l,21600r21600,xe">
              <v:stroke joinstyle="miter"/>
              <v:path gradientshapeok="t" o:connecttype="custom" o:connectlocs="0,0;0,10800;0,21600;10800,21600;21600,21600;10800,10800" textboxrect="1800,12600,12600,19800"/>
            </v:shapetype>
            <v:shape id="直角三角形 15" o:spid="_x0000_s1026" type="#_x0000_t6" style="position:absolute;left:0;text-align:left;margin-left:256.4pt;margin-top:-7.9pt;width:17.65pt;height: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" fillcolor="#449ea4" stroked="f"/>
          </w:pict>
        </mc:Fallback>
      </mc:AlternateContent>
    </w:r>
    <w:r>
      <w:rPr>
        <w:noProof/>
      </w:rPr>
      <mc:AlternateContent>
        <mc:Choice Requires="wps">
          <w:drawing>
            <wp:anchor distT="0" distB="0" distL="114300" distR="114300" simplePos="0" relativeHeight="251657216" behindDoc="0" locked="0" layoutInCell="1" allowOverlap="1" wp14:anchorId="67CC756E" wp14:editId="26DE22E9">
              <wp:simplePos x="0" y="0"/>
              <wp:positionH relativeFrom="column">
                <wp:posOffset>-1297305</wp:posOffset>
              </wp:positionH>
              <wp:positionV relativeFrom="paragraph">
                <wp:posOffset>-100330</wp:posOffset>
              </wp:positionV>
              <wp:extent cx="4553585" cy="133985"/>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585" cy="133985"/>
                      </a:xfrm>
                      <a:prstGeom prst="rect">
                        <a:avLst/>
                      </a:prstGeom>
                      <a:solidFill>
                        <a:srgbClr val="449E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DC6C7" id="矩形 13" o:spid="_x0000_s1026" style="position:absolute;left:0;text-align:left;margin-left:-102.15pt;margin-top:-7.9pt;width:358.55pt;height:1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" fillcolor="#449ea4" stroked="f"/>
          </w:pict>
        </mc:Fallback>
      </mc:AlternateContent>
    </w:r>
  </w:p>
  <w:p w14:paraId="2B842D5F" w14:textId="77777777" w:rsidR="00105D63" w:rsidRPr="00406BDD" w:rsidRDefault="00105D63" w:rsidP="003E6463"/>
  <w:p w14:paraId="6F200B7D" w14:textId="1D8DF1AD" w:rsidR="00105D63" w:rsidRPr="00C23447" w:rsidRDefault="00105D63" w:rsidP="00C2344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77577B"/>
    <w:multiLevelType w:val="singleLevel"/>
    <w:tmpl w:val="FC77577B"/>
    <w:lvl w:ilvl="0">
      <w:start w:val="1"/>
      <w:numFmt w:val="decimal"/>
      <w:suff w:val="nothing"/>
      <w:lvlText w:val="（%1）"/>
      <w:lvlJc w:val="left"/>
    </w:lvl>
  </w:abstractNum>
  <w:abstractNum w:abstractNumId="1" w15:restartNumberingAfterBreak="0">
    <w:nsid w:val="00D467DD"/>
    <w:multiLevelType w:val="hybridMultilevel"/>
    <w:tmpl w:val="9AC62E8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645426F"/>
    <w:multiLevelType w:val="hybridMultilevel"/>
    <w:tmpl w:val="B6E2AE94"/>
    <w:lvl w:ilvl="0" w:tplc="04090003">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15D37D71"/>
    <w:multiLevelType w:val="hybridMultilevel"/>
    <w:tmpl w:val="6956A8B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F7D04"/>
    <w:multiLevelType w:val="hybridMultilevel"/>
    <w:tmpl w:val="28CA10C0"/>
    <w:lvl w:ilvl="0" w:tplc="1486BDCE">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083B25"/>
    <w:multiLevelType w:val="hybridMultilevel"/>
    <w:tmpl w:val="A1CEFE9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7621419"/>
    <w:multiLevelType w:val="hybridMultilevel"/>
    <w:tmpl w:val="152EFA5A"/>
    <w:lvl w:ilvl="0" w:tplc="861EC3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9C53715"/>
    <w:multiLevelType w:val="hybridMultilevel"/>
    <w:tmpl w:val="D838617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2B440976"/>
    <w:multiLevelType w:val="hybridMultilevel"/>
    <w:tmpl w:val="2E08417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3C175F4"/>
    <w:multiLevelType w:val="hybridMultilevel"/>
    <w:tmpl w:val="EAE4C316"/>
    <w:lvl w:ilvl="0" w:tplc="F42260E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45D6AE3"/>
    <w:multiLevelType w:val="hybridMultilevel"/>
    <w:tmpl w:val="B1DCD6B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64042FE"/>
    <w:multiLevelType w:val="hybridMultilevel"/>
    <w:tmpl w:val="82160CB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4E8218F8"/>
    <w:multiLevelType w:val="hybridMultilevel"/>
    <w:tmpl w:val="152EFA5A"/>
    <w:lvl w:ilvl="0" w:tplc="861EC3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930949"/>
    <w:multiLevelType w:val="hybridMultilevel"/>
    <w:tmpl w:val="74A8F516"/>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9916789"/>
    <w:multiLevelType w:val="hybridMultilevel"/>
    <w:tmpl w:val="EA54389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F5039DC"/>
    <w:multiLevelType w:val="hybridMultilevel"/>
    <w:tmpl w:val="FB8843D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FE947D0"/>
    <w:multiLevelType w:val="hybridMultilevel"/>
    <w:tmpl w:val="08E6E2AA"/>
    <w:lvl w:ilvl="0" w:tplc="48601C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2383967"/>
    <w:multiLevelType w:val="hybridMultilevel"/>
    <w:tmpl w:val="A9F8FBF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6A063162"/>
    <w:multiLevelType w:val="hybridMultilevel"/>
    <w:tmpl w:val="92146FCA"/>
    <w:lvl w:ilvl="0" w:tplc="04090003">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9" w15:restartNumberingAfterBreak="0">
    <w:nsid w:val="6C95684C"/>
    <w:multiLevelType w:val="hybridMultilevel"/>
    <w:tmpl w:val="1194C7BA"/>
    <w:lvl w:ilvl="0" w:tplc="04090003">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20" w15:restartNumberingAfterBreak="0">
    <w:nsid w:val="6E42397E"/>
    <w:multiLevelType w:val="hybridMultilevel"/>
    <w:tmpl w:val="ED5A47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71517AB0"/>
    <w:multiLevelType w:val="hybridMultilevel"/>
    <w:tmpl w:val="26866B0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4"/>
  </w:num>
  <w:num w:numId="2">
    <w:abstractNumId w:val="10"/>
  </w:num>
  <w:num w:numId="3">
    <w:abstractNumId w:val="2"/>
  </w:num>
  <w:num w:numId="4">
    <w:abstractNumId w:val="19"/>
  </w:num>
  <w:num w:numId="5">
    <w:abstractNumId w:val="18"/>
  </w:num>
  <w:num w:numId="6">
    <w:abstractNumId w:val="21"/>
  </w:num>
  <w:num w:numId="7">
    <w:abstractNumId w:val="11"/>
  </w:num>
  <w:num w:numId="8">
    <w:abstractNumId w:val="9"/>
  </w:num>
  <w:num w:numId="9">
    <w:abstractNumId w:val="13"/>
  </w:num>
  <w:num w:numId="10">
    <w:abstractNumId w:val="17"/>
  </w:num>
  <w:num w:numId="11">
    <w:abstractNumId w:val="8"/>
  </w:num>
  <w:num w:numId="12">
    <w:abstractNumId w:val="14"/>
  </w:num>
  <w:num w:numId="13">
    <w:abstractNumId w:val="5"/>
  </w:num>
  <w:num w:numId="14">
    <w:abstractNumId w:val="6"/>
  </w:num>
  <w:num w:numId="15">
    <w:abstractNumId w:val="12"/>
  </w:num>
  <w:num w:numId="16">
    <w:abstractNumId w:val="16"/>
  </w:num>
  <w:num w:numId="17">
    <w:abstractNumId w:val="7"/>
  </w:num>
  <w:num w:numId="18">
    <w:abstractNumId w:val="1"/>
  </w:num>
  <w:num w:numId="19">
    <w:abstractNumId w:val="15"/>
  </w:num>
  <w:num w:numId="20">
    <w:abstractNumId w:val="20"/>
  </w:num>
  <w:num w:numId="21">
    <w:abstractNumId w:val="0"/>
  </w:num>
  <w:num w:numId="2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characterSpacingControl w:val="doNotCompress"/>
  <w:hdrShapeDefaults>
    <o:shapedefaults v:ext="edit" spidmax="2049" fillcolor="white">
      <v:fill color="white"/>
      <o:colormru v:ext="edit" colors="#dda383,#3a9e9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431"/>
    <w:rsid w:val="0000010A"/>
    <w:rsid w:val="0000046C"/>
    <w:rsid w:val="0000048C"/>
    <w:rsid w:val="000008F6"/>
    <w:rsid w:val="00000CC7"/>
    <w:rsid w:val="00001510"/>
    <w:rsid w:val="00001950"/>
    <w:rsid w:val="000020FE"/>
    <w:rsid w:val="000028BE"/>
    <w:rsid w:val="00002C08"/>
    <w:rsid w:val="00003140"/>
    <w:rsid w:val="0000524D"/>
    <w:rsid w:val="00005251"/>
    <w:rsid w:val="000059FE"/>
    <w:rsid w:val="00005E0C"/>
    <w:rsid w:val="00006356"/>
    <w:rsid w:val="00006C17"/>
    <w:rsid w:val="00010C5E"/>
    <w:rsid w:val="00011070"/>
    <w:rsid w:val="00011913"/>
    <w:rsid w:val="00012FBB"/>
    <w:rsid w:val="000130E0"/>
    <w:rsid w:val="00013713"/>
    <w:rsid w:val="00013850"/>
    <w:rsid w:val="00014E17"/>
    <w:rsid w:val="000152F4"/>
    <w:rsid w:val="000155C1"/>
    <w:rsid w:val="00015668"/>
    <w:rsid w:val="000158FF"/>
    <w:rsid w:val="00017615"/>
    <w:rsid w:val="0001764A"/>
    <w:rsid w:val="00017881"/>
    <w:rsid w:val="00017EF9"/>
    <w:rsid w:val="0002049C"/>
    <w:rsid w:val="00020B45"/>
    <w:rsid w:val="00021E65"/>
    <w:rsid w:val="00022C11"/>
    <w:rsid w:val="00022C33"/>
    <w:rsid w:val="00022DCF"/>
    <w:rsid w:val="00022F77"/>
    <w:rsid w:val="00023045"/>
    <w:rsid w:val="000235D0"/>
    <w:rsid w:val="00023B98"/>
    <w:rsid w:val="00024142"/>
    <w:rsid w:val="0002451E"/>
    <w:rsid w:val="00024775"/>
    <w:rsid w:val="00024C0B"/>
    <w:rsid w:val="00024CDB"/>
    <w:rsid w:val="000250CE"/>
    <w:rsid w:val="000254AE"/>
    <w:rsid w:val="000262C6"/>
    <w:rsid w:val="000263A3"/>
    <w:rsid w:val="0002641E"/>
    <w:rsid w:val="00026543"/>
    <w:rsid w:val="00027C69"/>
    <w:rsid w:val="00027ED2"/>
    <w:rsid w:val="00030461"/>
    <w:rsid w:val="000316A7"/>
    <w:rsid w:val="0003179D"/>
    <w:rsid w:val="0003292E"/>
    <w:rsid w:val="000336E7"/>
    <w:rsid w:val="00033771"/>
    <w:rsid w:val="00033F22"/>
    <w:rsid w:val="0003467F"/>
    <w:rsid w:val="00034C6B"/>
    <w:rsid w:val="0003546B"/>
    <w:rsid w:val="0003634C"/>
    <w:rsid w:val="00036778"/>
    <w:rsid w:val="000370DA"/>
    <w:rsid w:val="00037510"/>
    <w:rsid w:val="00037B9D"/>
    <w:rsid w:val="00037FD2"/>
    <w:rsid w:val="000407E7"/>
    <w:rsid w:val="00040D94"/>
    <w:rsid w:val="00041C4A"/>
    <w:rsid w:val="00042613"/>
    <w:rsid w:val="0004283E"/>
    <w:rsid w:val="00043980"/>
    <w:rsid w:val="00044059"/>
    <w:rsid w:val="0004501E"/>
    <w:rsid w:val="00045038"/>
    <w:rsid w:val="0004542A"/>
    <w:rsid w:val="00045B4D"/>
    <w:rsid w:val="00046014"/>
    <w:rsid w:val="0004636F"/>
    <w:rsid w:val="000463DA"/>
    <w:rsid w:val="00046D9E"/>
    <w:rsid w:val="00046EF8"/>
    <w:rsid w:val="00046F64"/>
    <w:rsid w:val="000470D9"/>
    <w:rsid w:val="00050E7C"/>
    <w:rsid w:val="00050EE6"/>
    <w:rsid w:val="000515C9"/>
    <w:rsid w:val="00051662"/>
    <w:rsid w:val="00051758"/>
    <w:rsid w:val="00051D77"/>
    <w:rsid w:val="000528A4"/>
    <w:rsid w:val="00052C54"/>
    <w:rsid w:val="00052D74"/>
    <w:rsid w:val="0005387C"/>
    <w:rsid w:val="000558E5"/>
    <w:rsid w:val="00055C30"/>
    <w:rsid w:val="00056451"/>
    <w:rsid w:val="00056839"/>
    <w:rsid w:val="00056C2B"/>
    <w:rsid w:val="00056CD5"/>
    <w:rsid w:val="000570C4"/>
    <w:rsid w:val="0005788D"/>
    <w:rsid w:val="0006000A"/>
    <w:rsid w:val="00060623"/>
    <w:rsid w:val="00060D79"/>
    <w:rsid w:val="00061F15"/>
    <w:rsid w:val="00062619"/>
    <w:rsid w:val="00062AA4"/>
    <w:rsid w:val="00062D60"/>
    <w:rsid w:val="00062E90"/>
    <w:rsid w:val="00063DF8"/>
    <w:rsid w:val="00064566"/>
    <w:rsid w:val="00064A21"/>
    <w:rsid w:val="00064FDE"/>
    <w:rsid w:val="0006531A"/>
    <w:rsid w:val="000654D9"/>
    <w:rsid w:val="00066ECF"/>
    <w:rsid w:val="00067FC1"/>
    <w:rsid w:val="00070399"/>
    <w:rsid w:val="00070B16"/>
    <w:rsid w:val="00070E35"/>
    <w:rsid w:val="00070F5B"/>
    <w:rsid w:val="000712A2"/>
    <w:rsid w:val="00072749"/>
    <w:rsid w:val="000727A5"/>
    <w:rsid w:val="00072AE0"/>
    <w:rsid w:val="00073798"/>
    <w:rsid w:val="000737B0"/>
    <w:rsid w:val="0007638A"/>
    <w:rsid w:val="0007660D"/>
    <w:rsid w:val="000767AA"/>
    <w:rsid w:val="00077347"/>
    <w:rsid w:val="0007780D"/>
    <w:rsid w:val="00077ABC"/>
    <w:rsid w:val="00077D48"/>
    <w:rsid w:val="0008018C"/>
    <w:rsid w:val="00080811"/>
    <w:rsid w:val="00080854"/>
    <w:rsid w:val="000808F4"/>
    <w:rsid w:val="000846B8"/>
    <w:rsid w:val="00084EED"/>
    <w:rsid w:val="000850EC"/>
    <w:rsid w:val="000855A9"/>
    <w:rsid w:val="0008696E"/>
    <w:rsid w:val="00086E30"/>
    <w:rsid w:val="00087149"/>
    <w:rsid w:val="00087600"/>
    <w:rsid w:val="00087FF9"/>
    <w:rsid w:val="00090BA2"/>
    <w:rsid w:val="00090EE5"/>
    <w:rsid w:val="000915EE"/>
    <w:rsid w:val="00091E8B"/>
    <w:rsid w:val="000920C9"/>
    <w:rsid w:val="00092E56"/>
    <w:rsid w:val="000935B9"/>
    <w:rsid w:val="00094B47"/>
    <w:rsid w:val="00094C1A"/>
    <w:rsid w:val="000953C7"/>
    <w:rsid w:val="00095C74"/>
    <w:rsid w:val="00095DD8"/>
    <w:rsid w:val="00095DDB"/>
    <w:rsid w:val="000961E2"/>
    <w:rsid w:val="000963C6"/>
    <w:rsid w:val="00096665"/>
    <w:rsid w:val="0009780E"/>
    <w:rsid w:val="000A02E9"/>
    <w:rsid w:val="000A06DD"/>
    <w:rsid w:val="000A0B8E"/>
    <w:rsid w:val="000A0EB0"/>
    <w:rsid w:val="000A19D2"/>
    <w:rsid w:val="000A1DA3"/>
    <w:rsid w:val="000A29CD"/>
    <w:rsid w:val="000A2ED5"/>
    <w:rsid w:val="000A3DCC"/>
    <w:rsid w:val="000A3E29"/>
    <w:rsid w:val="000A40EB"/>
    <w:rsid w:val="000A410D"/>
    <w:rsid w:val="000A5292"/>
    <w:rsid w:val="000A5A2B"/>
    <w:rsid w:val="000A6C00"/>
    <w:rsid w:val="000A6CBF"/>
    <w:rsid w:val="000A74FB"/>
    <w:rsid w:val="000A755C"/>
    <w:rsid w:val="000A7A69"/>
    <w:rsid w:val="000B0390"/>
    <w:rsid w:val="000B0594"/>
    <w:rsid w:val="000B112F"/>
    <w:rsid w:val="000B3000"/>
    <w:rsid w:val="000B37F0"/>
    <w:rsid w:val="000B39A8"/>
    <w:rsid w:val="000B3E72"/>
    <w:rsid w:val="000B4271"/>
    <w:rsid w:val="000B42FC"/>
    <w:rsid w:val="000B522E"/>
    <w:rsid w:val="000B611F"/>
    <w:rsid w:val="000B63A4"/>
    <w:rsid w:val="000B6546"/>
    <w:rsid w:val="000B65F5"/>
    <w:rsid w:val="000B6C8A"/>
    <w:rsid w:val="000B6DE4"/>
    <w:rsid w:val="000B75BB"/>
    <w:rsid w:val="000C0186"/>
    <w:rsid w:val="000C1040"/>
    <w:rsid w:val="000C12B2"/>
    <w:rsid w:val="000C1AC7"/>
    <w:rsid w:val="000C2510"/>
    <w:rsid w:val="000C2C74"/>
    <w:rsid w:val="000C2DE2"/>
    <w:rsid w:val="000C2DE8"/>
    <w:rsid w:val="000C2F99"/>
    <w:rsid w:val="000C321E"/>
    <w:rsid w:val="000C3418"/>
    <w:rsid w:val="000C4A90"/>
    <w:rsid w:val="000C5005"/>
    <w:rsid w:val="000C506A"/>
    <w:rsid w:val="000C5D6C"/>
    <w:rsid w:val="000C679E"/>
    <w:rsid w:val="000C731B"/>
    <w:rsid w:val="000C7371"/>
    <w:rsid w:val="000C761F"/>
    <w:rsid w:val="000C7F92"/>
    <w:rsid w:val="000D0B36"/>
    <w:rsid w:val="000D1958"/>
    <w:rsid w:val="000D257E"/>
    <w:rsid w:val="000D308D"/>
    <w:rsid w:val="000D31FB"/>
    <w:rsid w:val="000D3533"/>
    <w:rsid w:val="000D3A2E"/>
    <w:rsid w:val="000D3A61"/>
    <w:rsid w:val="000D3BB6"/>
    <w:rsid w:val="000D3EE4"/>
    <w:rsid w:val="000D5443"/>
    <w:rsid w:val="000D563D"/>
    <w:rsid w:val="000D5C6A"/>
    <w:rsid w:val="000D5E4E"/>
    <w:rsid w:val="000D6694"/>
    <w:rsid w:val="000D6E07"/>
    <w:rsid w:val="000E08DD"/>
    <w:rsid w:val="000E0FEC"/>
    <w:rsid w:val="000E1E2D"/>
    <w:rsid w:val="000E2BDC"/>
    <w:rsid w:val="000E3C72"/>
    <w:rsid w:val="000E416A"/>
    <w:rsid w:val="000E49CA"/>
    <w:rsid w:val="000E4DEC"/>
    <w:rsid w:val="000E4E27"/>
    <w:rsid w:val="000E5191"/>
    <w:rsid w:val="000E58F6"/>
    <w:rsid w:val="000E688B"/>
    <w:rsid w:val="000E6CA5"/>
    <w:rsid w:val="000E769E"/>
    <w:rsid w:val="000E788B"/>
    <w:rsid w:val="000E798C"/>
    <w:rsid w:val="000E7A9E"/>
    <w:rsid w:val="000F0684"/>
    <w:rsid w:val="000F0EC3"/>
    <w:rsid w:val="000F13F0"/>
    <w:rsid w:val="000F1464"/>
    <w:rsid w:val="000F3444"/>
    <w:rsid w:val="000F430E"/>
    <w:rsid w:val="000F43CE"/>
    <w:rsid w:val="000F47D2"/>
    <w:rsid w:val="000F53B6"/>
    <w:rsid w:val="000F540B"/>
    <w:rsid w:val="000F57F3"/>
    <w:rsid w:val="000F5D24"/>
    <w:rsid w:val="000F5DDE"/>
    <w:rsid w:val="000F5EEF"/>
    <w:rsid w:val="000F740D"/>
    <w:rsid w:val="000F779A"/>
    <w:rsid w:val="000F78E0"/>
    <w:rsid w:val="001003C6"/>
    <w:rsid w:val="00100427"/>
    <w:rsid w:val="00100A30"/>
    <w:rsid w:val="0010295F"/>
    <w:rsid w:val="00102F5F"/>
    <w:rsid w:val="00103138"/>
    <w:rsid w:val="001034F3"/>
    <w:rsid w:val="00105D63"/>
    <w:rsid w:val="00106022"/>
    <w:rsid w:val="00106764"/>
    <w:rsid w:val="00106D7D"/>
    <w:rsid w:val="0010772A"/>
    <w:rsid w:val="00107862"/>
    <w:rsid w:val="00107B68"/>
    <w:rsid w:val="00110A71"/>
    <w:rsid w:val="0011122E"/>
    <w:rsid w:val="00111828"/>
    <w:rsid w:val="001128FE"/>
    <w:rsid w:val="00112D00"/>
    <w:rsid w:val="00113AED"/>
    <w:rsid w:val="00113E55"/>
    <w:rsid w:val="00113ECE"/>
    <w:rsid w:val="001142E7"/>
    <w:rsid w:val="00115ED5"/>
    <w:rsid w:val="00116B6C"/>
    <w:rsid w:val="001174E9"/>
    <w:rsid w:val="00120853"/>
    <w:rsid w:val="00120D99"/>
    <w:rsid w:val="00121BEB"/>
    <w:rsid w:val="00122058"/>
    <w:rsid w:val="001232F6"/>
    <w:rsid w:val="001238F5"/>
    <w:rsid w:val="001241D4"/>
    <w:rsid w:val="00124B08"/>
    <w:rsid w:val="001260AF"/>
    <w:rsid w:val="001263FA"/>
    <w:rsid w:val="00126E84"/>
    <w:rsid w:val="00127615"/>
    <w:rsid w:val="0012767A"/>
    <w:rsid w:val="00127761"/>
    <w:rsid w:val="00127D24"/>
    <w:rsid w:val="00130091"/>
    <w:rsid w:val="00130149"/>
    <w:rsid w:val="001308FF"/>
    <w:rsid w:val="00131470"/>
    <w:rsid w:val="00131957"/>
    <w:rsid w:val="00131BEE"/>
    <w:rsid w:val="001328E9"/>
    <w:rsid w:val="00132BD3"/>
    <w:rsid w:val="0013335C"/>
    <w:rsid w:val="001336D8"/>
    <w:rsid w:val="00133D20"/>
    <w:rsid w:val="001347C7"/>
    <w:rsid w:val="001352BD"/>
    <w:rsid w:val="001353D8"/>
    <w:rsid w:val="001355C5"/>
    <w:rsid w:val="001356C0"/>
    <w:rsid w:val="00135C49"/>
    <w:rsid w:val="00135DDC"/>
    <w:rsid w:val="00135F10"/>
    <w:rsid w:val="001367F6"/>
    <w:rsid w:val="00136EF8"/>
    <w:rsid w:val="001371D9"/>
    <w:rsid w:val="00137623"/>
    <w:rsid w:val="00137AD2"/>
    <w:rsid w:val="00137F99"/>
    <w:rsid w:val="00140A77"/>
    <w:rsid w:val="00141198"/>
    <w:rsid w:val="001416AD"/>
    <w:rsid w:val="001416B0"/>
    <w:rsid w:val="00141F26"/>
    <w:rsid w:val="00141FA3"/>
    <w:rsid w:val="00142AB4"/>
    <w:rsid w:val="001430E5"/>
    <w:rsid w:val="001431E9"/>
    <w:rsid w:val="001442B2"/>
    <w:rsid w:val="001444BC"/>
    <w:rsid w:val="001446F1"/>
    <w:rsid w:val="00144FA9"/>
    <w:rsid w:val="00145108"/>
    <w:rsid w:val="00145379"/>
    <w:rsid w:val="00145DA2"/>
    <w:rsid w:val="001464F7"/>
    <w:rsid w:val="001466EA"/>
    <w:rsid w:val="00146E21"/>
    <w:rsid w:val="001470B5"/>
    <w:rsid w:val="00147490"/>
    <w:rsid w:val="0014763E"/>
    <w:rsid w:val="00147955"/>
    <w:rsid w:val="001502AE"/>
    <w:rsid w:val="00151C42"/>
    <w:rsid w:val="00152072"/>
    <w:rsid w:val="0015208B"/>
    <w:rsid w:val="0015212E"/>
    <w:rsid w:val="0015213E"/>
    <w:rsid w:val="0015248D"/>
    <w:rsid w:val="0015253A"/>
    <w:rsid w:val="00152646"/>
    <w:rsid w:val="00152AF8"/>
    <w:rsid w:val="00152D91"/>
    <w:rsid w:val="0015301C"/>
    <w:rsid w:val="00153837"/>
    <w:rsid w:val="00153B75"/>
    <w:rsid w:val="00153BC9"/>
    <w:rsid w:val="0015519A"/>
    <w:rsid w:val="00156BFA"/>
    <w:rsid w:val="00157226"/>
    <w:rsid w:val="00157988"/>
    <w:rsid w:val="00157AAA"/>
    <w:rsid w:val="00157DDA"/>
    <w:rsid w:val="0016056F"/>
    <w:rsid w:val="00160639"/>
    <w:rsid w:val="00160B20"/>
    <w:rsid w:val="00160B9B"/>
    <w:rsid w:val="0016142C"/>
    <w:rsid w:val="0016163B"/>
    <w:rsid w:val="00163906"/>
    <w:rsid w:val="00163991"/>
    <w:rsid w:val="00163C8C"/>
    <w:rsid w:val="00163E4A"/>
    <w:rsid w:val="00164439"/>
    <w:rsid w:val="001651E3"/>
    <w:rsid w:val="001656CC"/>
    <w:rsid w:val="00166C5E"/>
    <w:rsid w:val="00166ED9"/>
    <w:rsid w:val="00167356"/>
    <w:rsid w:val="00167D97"/>
    <w:rsid w:val="00170376"/>
    <w:rsid w:val="00170490"/>
    <w:rsid w:val="00170979"/>
    <w:rsid w:val="00170E20"/>
    <w:rsid w:val="00171879"/>
    <w:rsid w:val="00171AAC"/>
    <w:rsid w:val="00171D0E"/>
    <w:rsid w:val="0017243B"/>
    <w:rsid w:val="00172C78"/>
    <w:rsid w:val="00173219"/>
    <w:rsid w:val="00173D12"/>
    <w:rsid w:val="00173D6E"/>
    <w:rsid w:val="00174CA0"/>
    <w:rsid w:val="0017586E"/>
    <w:rsid w:val="001759D3"/>
    <w:rsid w:val="0017635C"/>
    <w:rsid w:val="00176F37"/>
    <w:rsid w:val="00177C7E"/>
    <w:rsid w:val="00177EBB"/>
    <w:rsid w:val="00180066"/>
    <w:rsid w:val="001803C8"/>
    <w:rsid w:val="001808CB"/>
    <w:rsid w:val="00180A4D"/>
    <w:rsid w:val="00181A0A"/>
    <w:rsid w:val="00181D5E"/>
    <w:rsid w:val="001823D1"/>
    <w:rsid w:val="00182622"/>
    <w:rsid w:val="00182B93"/>
    <w:rsid w:val="00182D25"/>
    <w:rsid w:val="00183559"/>
    <w:rsid w:val="00183804"/>
    <w:rsid w:val="00183943"/>
    <w:rsid w:val="001843FE"/>
    <w:rsid w:val="00184A30"/>
    <w:rsid w:val="001858D1"/>
    <w:rsid w:val="00185D80"/>
    <w:rsid w:val="00186015"/>
    <w:rsid w:val="00187788"/>
    <w:rsid w:val="001877EA"/>
    <w:rsid w:val="00187B25"/>
    <w:rsid w:val="00190A1E"/>
    <w:rsid w:val="001918AF"/>
    <w:rsid w:val="00191FF0"/>
    <w:rsid w:val="001921C6"/>
    <w:rsid w:val="00192B20"/>
    <w:rsid w:val="0019334D"/>
    <w:rsid w:val="001933A1"/>
    <w:rsid w:val="001937B9"/>
    <w:rsid w:val="001938AF"/>
    <w:rsid w:val="001939AD"/>
    <w:rsid w:val="00193FFB"/>
    <w:rsid w:val="00194861"/>
    <w:rsid w:val="001948B3"/>
    <w:rsid w:val="00194CCC"/>
    <w:rsid w:val="0019532F"/>
    <w:rsid w:val="001957DA"/>
    <w:rsid w:val="00195849"/>
    <w:rsid w:val="00195E04"/>
    <w:rsid w:val="00196A7A"/>
    <w:rsid w:val="00196B77"/>
    <w:rsid w:val="00196C5D"/>
    <w:rsid w:val="00197382"/>
    <w:rsid w:val="00197B2C"/>
    <w:rsid w:val="00197CDF"/>
    <w:rsid w:val="00197D55"/>
    <w:rsid w:val="001A00AC"/>
    <w:rsid w:val="001A0AA3"/>
    <w:rsid w:val="001A1491"/>
    <w:rsid w:val="001A17C1"/>
    <w:rsid w:val="001A1824"/>
    <w:rsid w:val="001A1F39"/>
    <w:rsid w:val="001A2468"/>
    <w:rsid w:val="001A25B9"/>
    <w:rsid w:val="001A335C"/>
    <w:rsid w:val="001A3641"/>
    <w:rsid w:val="001A40D1"/>
    <w:rsid w:val="001A44E1"/>
    <w:rsid w:val="001A4E18"/>
    <w:rsid w:val="001A5489"/>
    <w:rsid w:val="001A586F"/>
    <w:rsid w:val="001A5A75"/>
    <w:rsid w:val="001A5DE9"/>
    <w:rsid w:val="001A6782"/>
    <w:rsid w:val="001A6FD8"/>
    <w:rsid w:val="001A719D"/>
    <w:rsid w:val="001A73CA"/>
    <w:rsid w:val="001A7428"/>
    <w:rsid w:val="001A773A"/>
    <w:rsid w:val="001A77CB"/>
    <w:rsid w:val="001A7BB6"/>
    <w:rsid w:val="001A7C38"/>
    <w:rsid w:val="001B09B1"/>
    <w:rsid w:val="001B11DC"/>
    <w:rsid w:val="001B182A"/>
    <w:rsid w:val="001B1A2B"/>
    <w:rsid w:val="001B4AD6"/>
    <w:rsid w:val="001B5869"/>
    <w:rsid w:val="001B6163"/>
    <w:rsid w:val="001B6455"/>
    <w:rsid w:val="001B6B09"/>
    <w:rsid w:val="001B765F"/>
    <w:rsid w:val="001B76DD"/>
    <w:rsid w:val="001B78E7"/>
    <w:rsid w:val="001C00E6"/>
    <w:rsid w:val="001C053D"/>
    <w:rsid w:val="001C0816"/>
    <w:rsid w:val="001C0B35"/>
    <w:rsid w:val="001C147A"/>
    <w:rsid w:val="001C1D5E"/>
    <w:rsid w:val="001C30C4"/>
    <w:rsid w:val="001C3329"/>
    <w:rsid w:val="001C433F"/>
    <w:rsid w:val="001C440D"/>
    <w:rsid w:val="001C4DBE"/>
    <w:rsid w:val="001C4E18"/>
    <w:rsid w:val="001C5277"/>
    <w:rsid w:val="001C52A2"/>
    <w:rsid w:val="001C5421"/>
    <w:rsid w:val="001C58E5"/>
    <w:rsid w:val="001C675B"/>
    <w:rsid w:val="001C72F2"/>
    <w:rsid w:val="001D02B3"/>
    <w:rsid w:val="001D0338"/>
    <w:rsid w:val="001D0ADC"/>
    <w:rsid w:val="001D0D51"/>
    <w:rsid w:val="001D12B0"/>
    <w:rsid w:val="001D1314"/>
    <w:rsid w:val="001D172F"/>
    <w:rsid w:val="001D1F06"/>
    <w:rsid w:val="001D25E5"/>
    <w:rsid w:val="001D2B2F"/>
    <w:rsid w:val="001D3E7D"/>
    <w:rsid w:val="001D474E"/>
    <w:rsid w:val="001D4AC8"/>
    <w:rsid w:val="001D4E14"/>
    <w:rsid w:val="001D4E92"/>
    <w:rsid w:val="001D58AE"/>
    <w:rsid w:val="001D5B1C"/>
    <w:rsid w:val="001D5E3F"/>
    <w:rsid w:val="001D5E61"/>
    <w:rsid w:val="001D6770"/>
    <w:rsid w:val="001D715F"/>
    <w:rsid w:val="001D7205"/>
    <w:rsid w:val="001D73D8"/>
    <w:rsid w:val="001E01E8"/>
    <w:rsid w:val="001E09F1"/>
    <w:rsid w:val="001E0C31"/>
    <w:rsid w:val="001E0ED6"/>
    <w:rsid w:val="001E1ACE"/>
    <w:rsid w:val="001E314A"/>
    <w:rsid w:val="001E3AF5"/>
    <w:rsid w:val="001E442B"/>
    <w:rsid w:val="001E48EA"/>
    <w:rsid w:val="001E4B03"/>
    <w:rsid w:val="001E4B3A"/>
    <w:rsid w:val="001E511B"/>
    <w:rsid w:val="001E525D"/>
    <w:rsid w:val="001E6026"/>
    <w:rsid w:val="001E672D"/>
    <w:rsid w:val="001E703E"/>
    <w:rsid w:val="001E7306"/>
    <w:rsid w:val="001F0775"/>
    <w:rsid w:val="001F0C60"/>
    <w:rsid w:val="001F12FB"/>
    <w:rsid w:val="001F15CB"/>
    <w:rsid w:val="001F1B90"/>
    <w:rsid w:val="001F1CA2"/>
    <w:rsid w:val="001F22E3"/>
    <w:rsid w:val="001F24B9"/>
    <w:rsid w:val="001F3583"/>
    <w:rsid w:val="001F3E0C"/>
    <w:rsid w:val="001F4521"/>
    <w:rsid w:val="001F55C5"/>
    <w:rsid w:val="001F5D04"/>
    <w:rsid w:val="001F6BAB"/>
    <w:rsid w:val="001F6F08"/>
    <w:rsid w:val="001F74A6"/>
    <w:rsid w:val="001F7692"/>
    <w:rsid w:val="001F7AFF"/>
    <w:rsid w:val="002023FF"/>
    <w:rsid w:val="002039D9"/>
    <w:rsid w:val="00203D75"/>
    <w:rsid w:val="00203E5E"/>
    <w:rsid w:val="002050B8"/>
    <w:rsid w:val="00205406"/>
    <w:rsid w:val="00205940"/>
    <w:rsid w:val="00205AED"/>
    <w:rsid w:val="00205FE3"/>
    <w:rsid w:val="00206408"/>
    <w:rsid w:val="00206722"/>
    <w:rsid w:val="00206B74"/>
    <w:rsid w:val="00207025"/>
    <w:rsid w:val="00207456"/>
    <w:rsid w:val="002078ED"/>
    <w:rsid w:val="00207A47"/>
    <w:rsid w:val="00210084"/>
    <w:rsid w:val="00210403"/>
    <w:rsid w:val="00211243"/>
    <w:rsid w:val="002115F4"/>
    <w:rsid w:val="00211690"/>
    <w:rsid w:val="00211B92"/>
    <w:rsid w:val="00211BA8"/>
    <w:rsid w:val="00211C78"/>
    <w:rsid w:val="00211E9B"/>
    <w:rsid w:val="002127A2"/>
    <w:rsid w:val="002128AF"/>
    <w:rsid w:val="00212A74"/>
    <w:rsid w:val="00212AE5"/>
    <w:rsid w:val="00212BCA"/>
    <w:rsid w:val="00212CA4"/>
    <w:rsid w:val="00212EAD"/>
    <w:rsid w:val="0021337E"/>
    <w:rsid w:val="0021349F"/>
    <w:rsid w:val="00213DC1"/>
    <w:rsid w:val="0021480F"/>
    <w:rsid w:val="00214BAE"/>
    <w:rsid w:val="00214BCE"/>
    <w:rsid w:val="00215AC9"/>
    <w:rsid w:val="00215B8D"/>
    <w:rsid w:val="00215D5F"/>
    <w:rsid w:val="00216143"/>
    <w:rsid w:val="0021645A"/>
    <w:rsid w:val="00217295"/>
    <w:rsid w:val="00217BC7"/>
    <w:rsid w:val="00217DC1"/>
    <w:rsid w:val="00220727"/>
    <w:rsid w:val="00221BCB"/>
    <w:rsid w:val="00222A07"/>
    <w:rsid w:val="00222FA6"/>
    <w:rsid w:val="00223A77"/>
    <w:rsid w:val="0022428A"/>
    <w:rsid w:val="00224525"/>
    <w:rsid w:val="00224B11"/>
    <w:rsid w:val="00225934"/>
    <w:rsid w:val="002276C0"/>
    <w:rsid w:val="00227780"/>
    <w:rsid w:val="002278E9"/>
    <w:rsid w:val="0023021E"/>
    <w:rsid w:val="002305AC"/>
    <w:rsid w:val="002316AF"/>
    <w:rsid w:val="0023246D"/>
    <w:rsid w:val="00233507"/>
    <w:rsid w:val="00233792"/>
    <w:rsid w:val="00233AE9"/>
    <w:rsid w:val="00233B23"/>
    <w:rsid w:val="00233C67"/>
    <w:rsid w:val="00233E50"/>
    <w:rsid w:val="002341CF"/>
    <w:rsid w:val="00234722"/>
    <w:rsid w:val="00234C59"/>
    <w:rsid w:val="00235122"/>
    <w:rsid w:val="00236092"/>
    <w:rsid w:val="00236097"/>
    <w:rsid w:val="00236BEC"/>
    <w:rsid w:val="002374E7"/>
    <w:rsid w:val="00237A19"/>
    <w:rsid w:val="0024034B"/>
    <w:rsid w:val="00240461"/>
    <w:rsid w:val="0024064D"/>
    <w:rsid w:val="0024099A"/>
    <w:rsid w:val="00240F93"/>
    <w:rsid w:val="002410BC"/>
    <w:rsid w:val="002420B3"/>
    <w:rsid w:val="0024231E"/>
    <w:rsid w:val="002423A7"/>
    <w:rsid w:val="00243038"/>
    <w:rsid w:val="00243078"/>
    <w:rsid w:val="00243F67"/>
    <w:rsid w:val="0024403A"/>
    <w:rsid w:val="002445F3"/>
    <w:rsid w:val="00244A2F"/>
    <w:rsid w:val="0024529F"/>
    <w:rsid w:val="00245A1E"/>
    <w:rsid w:val="00245D80"/>
    <w:rsid w:val="002468DA"/>
    <w:rsid w:val="0024697F"/>
    <w:rsid w:val="00246AA9"/>
    <w:rsid w:val="00246B3F"/>
    <w:rsid w:val="00246BD8"/>
    <w:rsid w:val="002475D0"/>
    <w:rsid w:val="00247764"/>
    <w:rsid w:val="002479E8"/>
    <w:rsid w:val="00247D01"/>
    <w:rsid w:val="0025021A"/>
    <w:rsid w:val="0025044B"/>
    <w:rsid w:val="002514C0"/>
    <w:rsid w:val="00251A45"/>
    <w:rsid w:val="002527A9"/>
    <w:rsid w:val="00253630"/>
    <w:rsid w:val="0025399A"/>
    <w:rsid w:val="00253F75"/>
    <w:rsid w:val="00254A37"/>
    <w:rsid w:val="002554AD"/>
    <w:rsid w:val="002557B0"/>
    <w:rsid w:val="00255AC6"/>
    <w:rsid w:val="00256724"/>
    <w:rsid w:val="00256734"/>
    <w:rsid w:val="00256AF6"/>
    <w:rsid w:val="002571FF"/>
    <w:rsid w:val="0025729C"/>
    <w:rsid w:val="002572D9"/>
    <w:rsid w:val="00257380"/>
    <w:rsid w:val="00260658"/>
    <w:rsid w:val="00260B07"/>
    <w:rsid w:val="00260EBC"/>
    <w:rsid w:val="002614F9"/>
    <w:rsid w:val="00261968"/>
    <w:rsid w:val="0026196C"/>
    <w:rsid w:val="00261B00"/>
    <w:rsid w:val="00261B0C"/>
    <w:rsid w:val="0026225C"/>
    <w:rsid w:val="002623C1"/>
    <w:rsid w:val="00262601"/>
    <w:rsid w:val="002629ED"/>
    <w:rsid w:val="0026304C"/>
    <w:rsid w:val="002630B0"/>
    <w:rsid w:val="0026374C"/>
    <w:rsid w:val="002637DB"/>
    <w:rsid w:val="00263A2D"/>
    <w:rsid w:val="002644F7"/>
    <w:rsid w:val="00264624"/>
    <w:rsid w:val="00264861"/>
    <w:rsid w:val="00264F54"/>
    <w:rsid w:val="002652EF"/>
    <w:rsid w:val="002654C2"/>
    <w:rsid w:val="0026629C"/>
    <w:rsid w:val="002668EE"/>
    <w:rsid w:val="002671F9"/>
    <w:rsid w:val="002673F4"/>
    <w:rsid w:val="002678FA"/>
    <w:rsid w:val="00267B03"/>
    <w:rsid w:val="00267CB0"/>
    <w:rsid w:val="00270DDB"/>
    <w:rsid w:val="00270E3D"/>
    <w:rsid w:val="00271393"/>
    <w:rsid w:val="00271894"/>
    <w:rsid w:val="0027190A"/>
    <w:rsid w:val="00271F84"/>
    <w:rsid w:val="0027257E"/>
    <w:rsid w:val="0027282E"/>
    <w:rsid w:val="00272F8D"/>
    <w:rsid w:val="00273146"/>
    <w:rsid w:val="00273390"/>
    <w:rsid w:val="00273A28"/>
    <w:rsid w:val="0027451C"/>
    <w:rsid w:val="00274FE9"/>
    <w:rsid w:val="00275517"/>
    <w:rsid w:val="00275ED3"/>
    <w:rsid w:val="00276434"/>
    <w:rsid w:val="00276B06"/>
    <w:rsid w:val="00277122"/>
    <w:rsid w:val="0027777C"/>
    <w:rsid w:val="00277FF9"/>
    <w:rsid w:val="00280719"/>
    <w:rsid w:val="0028131D"/>
    <w:rsid w:val="00281477"/>
    <w:rsid w:val="002816D2"/>
    <w:rsid w:val="002819D2"/>
    <w:rsid w:val="00281C64"/>
    <w:rsid w:val="0028226C"/>
    <w:rsid w:val="00282534"/>
    <w:rsid w:val="0028291C"/>
    <w:rsid w:val="002831B3"/>
    <w:rsid w:val="002832C8"/>
    <w:rsid w:val="002836CF"/>
    <w:rsid w:val="00283C8E"/>
    <w:rsid w:val="002844D5"/>
    <w:rsid w:val="00284503"/>
    <w:rsid w:val="0028467A"/>
    <w:rsid w:val="00284D79"/>
    <w:rsid w:val="00284E1C"/>
    <w:rsid w:val="00285219"/>
    <w:rsid w:val="00285443"/>
    <w:rsid w:val="002854DA"/>
    <w:rsid w:val="00286B3E"/>
    <w:rsid w:val="002871BD"/>
    <w:rsid w:val="00287F5B"/>
    <w:rsid w:val="00290A88"/>
    <w:rsid w:val="00290EFD"/>
    <w:rsid w:val="00291515"/>
    <w:rsid w:val="00291798"/>
    <w:rsid w:val="002917EA"/>
    <w:rsid w:val="00291A8A"/>
    <w:rsid w:val="00291C75"/>
    <w:rsid w:val="00291CBD"/>
    <w:rsid w:val="00291DA4"/>
    <w:rsid w:val="002920AF"/>
    <w:rsid w:val="00292186"/>
    <w:rsid w:val="00292595"/>
    <w:rsid w:val="00292ECB"/>
    <w:rsid w:val="00294F22"/>
    <w:rsid w:val="0029573B"/>
    <w:rsid w:val="002958D7"/>
    <w:rsid w:val="00295B45"/>
    <w:rsid w:val="00295DFE"/>
    <w:rsid w:val="002965CE"/>
    <w:rsid w:val="00296869"/>
    <w:rsid w:val="00296B7F"/>
    <w:rsid w:val="00296D02"/>
    <w:rsid w:val="00297514"/>
    <w:rsid w:val="0029772C"/>
    <w:rsid w:val="002A02D4"/>
    <w:rsid w:val="002A0836"/>
    <w:rsid w:val="002A0CD2"/>
    <w:rsid w:val="002A1331"/>
    <w:rsid w:val="002A1722"/>
    <w:rsid w:val="002A1F4A"/>
    <w:rsid w:val="002A262A"/>
    <w:rsid w:val="002A2B8D"/>
    <w:rsid w:val="002A377C"/>
    <w:rsid w:val="002A3A88"/>
    <w:rsid w:val="002A3DD7"/>
    <w:rsid w:val="002A431F"/>
    <w:rsid w:val="002A47DB"/>
    <w:rsid w:val="002A4ACE"/>
    <w:rsid w:val="002A4B7C"/>
    <w:rsid w:val="002A58F2"/>
    <w:rsid w:val="002A6719"/>
    <w:rsid w:val="002A7012"/>
    <w:rsid w:val="002A7249"/>
    <w:rsid w:val="002A7365"/>
    <w:rsid w:val="002A7572"/>
    <w:rsid w:val="002A785C"/>
    <w:rsid w:val="002A7897"/>
    <w:rsid w:val="002B01F0"/>
    <w:rsid w:val="002B0449"/>
    <w:rsid w:val="002B0604"/>
    <w:rsid w:val="002B0708"/>
    <w:rsid w:val="002B09C0"/>
    <w:rsid w:val="002B0C53"/>
    <w:rsid w:val="002B1D6B"/>
    <w:rsid w:val="002B1E36"/>
    <w:rsid w:val="002B3C40"/>
    <w:rsid w:val="002B46D7"/>
    <w:rsid w:val="002B4F0B"/>
    <w:rsid w:val="002B52F4"/>
    <w:rsid w:val="002B5500"/>
    <w:rsid w:val="002B5F3B"/>
    <w:rsid w:val="002B69D3"/>
    <w:rsid w:val="002B6A21"/>
    <w:rsid w:val="002B6E25"/>
    <w:rsid w:val="002B7228"/>
    <w:rsid w:val="002B73B5"/>
    <w:rsid w:val="002C04A2"/>
    <w:rsid w:val="002C04E9"/>
    <w:rsid w:val="002C0B2C"/>
    <w:rsid w:val="002C0E55"/>
    <w:rsid w:val="002C14B4"/>
    <w:rsid w:val="002C23DA"/>
    <w:rsid w:val="002C2434"/>
    <w:rsid w:val="002C28D2"/>
    <w:rsid w:val="002C2A81"/>
    <w:rsid w:val="002C2F6C"/>
    <w:rsid w:val="002C2FBA"/>
    <w:rsid w:val="002C3AA1"/>
    <w:rsid w:val="002C4C53"/>
    <w:rsid w:val="002C53E6"/>
    <w:rsid w:val="002C55EB"/>
    <w:rsid w:val="002C56CA"/>
    <w:rsid w:val="002C5CEC"/>
    <w:rsid w:val="002C679F"/>
    <w:rsid w:val="002C6B7D"/>
    <w:rsid w:val="002C6FCE"/>
    <w:rsid w:val="002C7387"/>
    <w:rsid w:val="002C7440"/>
    <w:rsid w:val="002C7770"/>
    <w:rsid w:val="002C7A90"/>
    <w:rsid w:val="002D06DD"/>
    <w:rsid w:val="002D0832"/>
    <w:rsid w:val="002D1819"/>
    <w:rsid w:val="002D1D47"/>
    <w:rsid w:val="002D1F9E"/>
    <w:rsid w:val="002D25F0"/>
    <w:rsid w:val="002D2C7D"/>
    <w:rsid w:val="002D2F78"/>
    <w:rsid w:val="002D30C4"/>
    <w:rsid w:val="002D33BD"/>
    <w:rsid w:val="002D3779"/>
    <w:rsid w:val="002D396E"/>
    <w:rsid w:val="002D424A"/>
    <w:rsid w:val="002D4B51"/>
    <w:rsid w:val="002D6195"/>
    <w:rsid w:val="002D631B"/>
    <w:rsid w:val="002D74FE"/>
    <w:rsid w:val="002D7619"/>
    <w:rsid w:val="002E0081"/>
    <w:rsid w:val="002E073B"/>
    <w:rsid w:val="002E0C8B"/>
    <w:rsid w:val="002E137E"/>
    <w:rsid w:val="002E21D0"/>
    <w:rsid w:val="002E234E"/>
    <w:rsid w:val="002E29D2"/>
    <w:rsid w:val="002E2FF1"/>
    <w:rsid w:val="002E43BD"/>
    <w:rsid w:val="002E45D0"/>
    <w:rsid w:val="002E4D48"/>
    <w:rsid w:val="002E4E44"/>
    <w:rsid w:val="002E4EA3"/>
    <w:rsid w:val="002E4F6C"/>
    <w:rsid w:val="002E514A"/>
    <w:rsid w:val="002E569F"/>
    <w:rsid w:val="002E6390"/>
    <w:rsid w:val="002E65D9"/>
    <w:rsid w:val="002E70AB"/>
    <w:rsid w:val="002E7146"/>
    <w:rsid w:val="002E76E3"/>
    <w:rsid w:val="002E7B07"/>
    <w:rsid w:val="002E7EA3"/>
    <w:rsid w:val="002F0510"/>
    <w:rsid w:val="002F0AD0"/>
    <w:rsid w:val="002F0F47"/>
    <w:rsid w:val="002F1B65"/>
    <w:rsid w:val="002F1B97"/>
    <w:rsid w:val="002F1FC1"/>
    <w:rsid w:val="002F21BA"/>
    <w:rsid w:val="002F2441"/>
    <w:rsid w:val="002F2964"/>
    <w:rsid w:val="002F3146"/>
    <w:rsid w:val="002F336F"/>
    <w:rsid w:val="002F33E0"/>
    <w:rsid w:val="002F3566"/>
    <w:rsid w:val="002F3776"/>
    <w:rsid w:val="002F37C8"/>
    <w:rsid w:val="002F38F0"/>
    <w:rsid w:val="002F3BFD"/>
    <w:rsid w:val="002F421D"/>
    <w:rsid w:val="002F436B"/>
    <w:rsid w:val="002F50C4"/>
    <w:rsid w:val="002F5452"/>
    <w:rsid w:val="002F6FDC"/>
    <w:rsid w:val="002F7380"/>
    <w:rsid w:val="002F76CB"/>
    <w:rsid w:val="002F7DDD"/>
    <w:rsid w:val="002F7E39"/>
    <w:rsid w:val="00300291"/>
    <w:rsid w:val="0030046C"/>
    <w:rsid w:val="0030081B"/>
    <w:rsid w:val="00300E13"/>
    <w:rsid w:val="00301253"/>
    <w:rsid w:val="0030138D"/>
    <w:rsid w:val="00301497"/>
    <w:rsid w:val="003016CD"/>
    <w:rsid w:val="003017A7"/>
    <w:rsid w:val="00302209"/>
    <w:rsid w:val="0030242E"/>
    <w:rsid w:val="00302E94"/>
    <w:rsid w:val="00303242"/>
    <w:rsid w:val="0030352F"/>
    <w:rsid w:val="003048B2"/>
    <w:rsid w:val="00304BAF"/>
    <w:rsid w:val="003054AB"/>
    <w:rsid w:val="00305DFC"/>
    <w:rsid w:val="00305EE5"/>
    <w:rsid w:val="003067A2"/>
    <w:rsid w:val="00306971"/>
    <w:rsid w:val="00306D13"/>
    <w:rsid w:val="00307218"/>
    <w:rsid w:val="003074DF"/>
    <w:rsid w:val="003075BB"/>
    <w:rsid w:val="00310B09"/>
    <w:rsid w:val="00310E44"/>
    <w:rsid w:val="0031100D"/>
    <w:rsid w:val="00311474"/>
    <w:rsid w:val="0031176B"/>
    <w:rsid w:val="0031177C"/>
    <w:rsid w:val="0031192D"/>
    <w:rsid w:val="00311C00"/>
    <w:rsid w:val="003130F6"/>
    <w:rsid w:val="00313D3E"/>
    <w:rsid w:val="00314129"/>
    <w:rsid w:val="00315534"/>
    <w:rsid w:val="00315F02"/>
    <w:rsid w:val="003172E3"/>
    <w:rsid w:val="00317870"/>
    <w:rsid w:val="00317B00"/>
    <w:rsid w:val="00320743"/>
    <w:rsid w:val="00321313"/>
    <w:rsid w:val="003226B1"/>
    <w:rsid w:val="00323567"/>
    <w:rsid w:val="00323C16"/>
    <w:rsid w:val="00323DE3"/>
    <w:rsid w:val="0032456A"/>
    <w:rsid w:val="00325111"/>
    <w:rsid w:val="0032535D"/>
    <w:rsid w:val="0032538B"/>
    <w:rsid w:val="00325481"/>
    <w:rsid w:val="00325A6B"/>
    <w:rsid w:val="003260B8"/>
    <w:rsid w:val="0032697D"/>
    <w:rsid w:val="003271E5"/>
    <w:rsid w:val="003272F7"/>
    <w:rsid w:val="003279D1"/>
    <w:rsid w:val="00327D17"/>
    <w:rsid w:val="00330458"/>
    <w:rsid w:val="003309D4"/>
    <w:rsid w:val="00330A19"/>
    <w:rsid w:val="003315BC"/>
    <w:rsid w:val="0033172E"/>
    <w:rsid w:val="00331B63"/>
    <w:rsid w:val="0033200F"/>
    <w:rsid w:val="00332616"/>
    <w:rsid w:val="00333434"/>
    <w:rsid w:val="00333847"/>
    <w:rsid w:val="00334111"/>
    <w:rsid w:val="00334183"/>
    <w:rsid w:val="00334865"/>
    <w:rsid w:val="00334C2E"/>
    <w:rsid w:val="00335C61"/>
    <w:rsid w:val="00335F5B"/>
    <w:rsid w:val="0033688E"/>
    <w:rsid w:val="00337770"/>
    <w:rsid w:val="00340366"/>
    <w:rsid w:val="003403BD"/>
    <w:rsid w:val="00340F25"/>
    <w:rsid w:val="0034101D"/>
    <w:rsid w:val="003411AB"/>
    <w:rsid w:val="003412B9"/>
    <w:rsid w:val="003413AD"/>
    <w:rsid w:val="003413D0"/>
    <w:rsid w:val="00341784"/>
    <w:rsid w:val="00341AAA"/>
    <w:rsid w:val="00342008"/>
    <w:rsid w:val="003420D6"/>
    <w:rsid w:val="00342ACB"/>
    <w:rsid w:val="00343139"/>
    <w:rsid w:val="00343E30"/>
    <w:rsid w:val="00344279"/>
    <w:rsid w:val="00344CD1"/>
    <w:rsid w:val="00345E73"/>
    <w:rsid w:val="00346187"/>
    <w:rsid w:val="00346352"/>
    <w:rsid w:val="0034644B"/>
    <w:rsid w:val="00347BA2"/>
    <w:rsid w:val="00347F87"/>
    <w:rsid w:val="003501BC"/>
    <w:rsid w:val="00351147"/>
    <w:rsid w:val="0035124F"/>
    <w:rsid w:val="003515C4"/>
    <w:rsid w:val="00351A57"/>
    <w:rsid w:val="003525EA"/>
    <w:rsid w:val="0035268F"/>
    <w:rsid w:val="00352893"/>
    <w:rsid w:val="003534BB"/>
    <w:rsid w:val="003539C9"/>
    <w:rsid w:val="00353E66"/>
    <w:rsid w:val="003540E8"/>
    <w:rsid w:val="003550BC"/>
    <w:rsid w:val="003553F3"/>
    <w:rsid w:val="003557BC"/>
    <w:rsid w:val="00356A8B"/>
    <w:rsid w:val="00356A8C"/>
    <w:rsid w:val="00356BA8"/>
    <w:rsid w:val="00356CCD"/>
    <w:rsid w:val="0035747D"/>
    <w:rsid w:val="00360A08"/>
    <w:rsid w:val="00360B9F"/>
    <w:rsid w:val="00360BD9"/>
    <w:rsid w:val="003612B8"/>
    <w:rsid w:val="00361348"/>
    <w:rsid w:val="00362E61"/>
    <w:rsid w:val="00363278"/>
    <w:rsid w:val="003637AB"/>
    <w:rsid w:val="00364294"/>
    <w:rsid w:val="00364936"/>
    <w:rsid w:val="0036573D"/>
    <w:rsid w:val="00365E50"/>
    <w:rsid w:val="0036610A"/>
    <w:rsid w:val="00366637"/>
    <w:rsid w:val="00366A90"/>
    <w:rsid w:val="0036728C"/>
    <w:rsid w:val="003702E5"/>
    <w:rsid w:val="00370ACA"/>
    <w:rsid w:val="00370AF0"/>
    <w:rsid w:val="003736E2"/>
    <w:rsid w:val="003739FC"/>
    <w:rsid w:val="003749A8"/>
    <w:rsid w:val="00374EE4"/>
    <w:rsid w:val="00375046"/>
    <w:rsid w:val="003754E2"/>
    <w:rsid w:val="00375503"/>
    <w:rsid w:val="00375B54"/>
    <w:rsid w:val="00375EC7"/>
    <w:rsid w:val="00376503"/>
    <w:rsid w:val="00377ADC"/>
    <w:rsid w:val="00377C59"/>
    <w:rsid w:val="0038065A"/>
    <w:rsid w:val="00381800"/>
    <w:rsid w:val="00381F00"/>
    <w:rsid w:val="00382CBE"/>
    <w:rsid w:val="0038346C"/>
    <w:rsid w:val="00384A49"/>
    <w:rsid w:val="00384D93"/>
    <w:rsid w:val="003851DB"/>
    <w:rsid w:val="003856D9"/>
    <w:rsid w:val="003866A3"/>
    <w:rsid w:val="00386770"/>
    <w:rsid w:val="00386929"/>
    <w:rsid w:val="00386A95"/>
    <w:rsid w:val="00386B24"/>
    <w:rsid w:val="003878BA"/>
    <w:rsid w:val="003906B3"/>
    <w:rsid w:val="00390732"/>
    <w:rsid w:val="00392FB7"/>
    <w:rsid w:val="00393257"/>
    <w:rsid w:val="003937E6"/>
    <w:rsid w:val="00393F42"/>
    <w:rsid w:val="003940CA"/>
    <w:rsid w:val="00394317"/>
    <w:rsid w:val="00394986"/>
    <w:rsid w:val="00395261"/>
    <w:rsid w:val="00395618"/>
    <w:rsid w:val="00395928"/>
    <w:rsid w:val="00396341"/>
    <w:rsid w:val="003964A1"/>
    <w:rsid w:val="0039720D"/>
    <w:rsid w:val="00397911"/>
    <w:rsid w:val="003A0C5E"/>
    <w:rsid w:val="003A0FA5"/>
    <w:rsid w:val="003A1405"/>
    <w:rsid w:val="003A1965"/>
    <w:rsid w:val="003A1F9C"/>
    <w:rsid w:val="003A2090"/>
    <w:rsid w:val="003A24FC"/>
    <w:rsid w:val="003A4CD8"/>
    <w:rsid w:val="003A50EF"/>
    <w:rsid w:val="003A6482"/>
    <w:rsid w:val="003A6753"/>
    <w:rsid w:val="003A6782"/>
    <w:rsid w:val="003A68E2"/>
    <w:rsid w:val="003A6F5D"/>
    <w:rsid w:val="003A7296"/>
    <w:rsid w:val="003A74FE"/>
    <w:rsid w:val="003A7EFC"/>
    <w:rsid w:val="003B1032"/>
    <w:rsid w:val="003B20BE"/>
    <w:rsid w:val="003B31ED"/>
    <w:rsid w:val="003B32B3"/>
    <w:rsid w:val="003B3B4A"/>
    <w:rsid w:val="003B3D74"/>
    <w:rsid w:val="003B3E17"/>
    <w:rsid w:val="003B3EE1"/>
    <w:rsid w:val="003B3F7B"/>
    <w:rsid w:val="003B4259"/>
    <w:rsid w:val="003B485C"/>
    <w:rsid w:val="003B521F"/>
    <w:rsid w:val="003B538B"/>
    <w:rsid w:val="003B5E96"/>
    <w:rsid w:val="003B6555"/>
    <w:rsid w:val="003B655D"/>
    <w:rsid w:val="003B67A6"/>
    <w:rsid w:val="003B6ADD"/>
    <w:rsid w:val="003B6C60"/>
    <w:rsid w:val="003B78EA"/>
    <w:rsid w:val="003B7A41"/>
    <w:rsid w:val="003B7ACB"/>
    <w:rsid w:val="003B7FAB"/>
    <w:rsid w:val="003C0136"/>
    <w:rsid w:val="003C05FB"/>
    <w:rsid w:val="003C09C5"/>
    <w:rsid w:val="003C1606"/>
    <w:rsid w:val="003C18AE"/>
    <w:rsid w:val="003C1A58"/>
    <w:rsid w:val="003C1D87"/>
    <w:rsid w:val="003C1E52"/>
    <w:rsid w:val="003C39E3"/>
    <w:rsid w:val="003C3D8B"/>
    <w:rsid w:val="003C4DC9"/>
    <w:rsid w:val="003C54F4"/>
    <w:rsid w:val="003C5AFE"/>
    <w:rsid w:val="003C69BF"/>
    <w:rsid w:val="003C6B86"/>
    <w:rsid w:val="003C723C"/>
    <w:rsid w:val="003C7741"/>
    <w:rsid w:val="003C7971"/>
    <w:rsid w:val="003C7DA0"/>
    <w:rsid w:val="003D0620"/>
    <w:rsid w:val="003D08B4"/>
    <w:rsid w:val="003D1E30"/>
    <w:rsid w:val="003D1FE0"/>
    <w:rsid w:val="003D26EF"/>
    <w:rsid w:val="003D296B"/>
    <w:rsid w:val="003D2CC0"/>
    <w:rsid w:val="003D30E6"/>
    <w:rsid w:val="003D3591"/>
    <w:rsid w:val="003D3992"/>
    <w:rsid w:val="003D40F5"/>
    <w:rsid w:val="003D446F"/>
    <w:rsid w:val="003D5425"/>
    <w:rsid w:val="003D54BA"/>
    <w:rsid w:val="003D7E9C"/>
    <w:rsid w:val="003E0484"/>
    <w:rsid w:val="003E0B4E"/>
    <w:rsid w:val="003E155B"/>
    <w:rsid w:val="003E1C85"/>
    <w:rsid w:val="003E244D"/>
    <w:rsid w:val="003E29A7"/>
    <w:rsid w:val="003E33DC"/>
    <w:rsid w:val="003E3715"/>
    <w:rsid w:val="003E5061"/>
    <w:rsid w:val="003E5870"/>
    <w:rsid w:val="003E6463"/>
    <w:rsid w:val="003E68CF"/>
    <w:rsid w:val="003E6A69"/>
    <w:rsid w:val="003E6A8E"/>
    <w:rsid w:val="003F0285"/>
    <w:rsid w:val="003F16C1"/>
    <w:rsid w:val="003F18BE"/>
    <w:rsid w:val="003F1C3C"/>
    <w:rsid w:val="003F24D2"/>
    <w:rsid w:val="003F2F0C"/>
    <w:rsid w:val="003F3191"/>
    <w:rsid w:val="003F32B3"/>
    <w:rsid w:val="003F4024"/>
    <w:rsid w:val="003F4DF2"/>
    <w:rsid w:val="003F4E8F"/>
    <w:rsid w:val="003F5B92"/>
    <w:rsid w:val="003F6535"/>
    <w:rsid w:val="003F66E9"/>
    <w:rsid w:val="003F7C02"/>
    <w:rsid w:val="003F7D78"/>
    <w:rsid w:val="00400435"/>
    <w:rsid w:val="004007FD"/>
    <w:rsid w:val="00400AA1"/>
    <w:rsid w:val="00400E1C"/>
    <w:rsid w:val="00402D4D"/>
    <w:rsid w:val="00403014"/>
    <w:rsid w:val="00403E12"/>
    <w:rsid w:val="00404048"/>
    <w:rsid w:val="00404968"/>
    <w:rsid w:val="00405093"/>
    <w:rsid w:val="00405674"/>
    <w:rsid w:val="004058D4"/>
    <w:rsid w:val="00405E33"/>
    <w:rsid w:val="00406D67"/>
    <w:rsid w:val="0040765E"/>
    <w:rsid w:val="0041197B"/>
    <w:rsid w:val="004124B1"/>
    <w:rsid w:val="00412E9D"/>
    <w:rsid w:val="00412FF6"/>
    <w:rsid w:val="004135EA"/>
    <w:rsid w:val="00413BF4"/>
    <w:rsid w:val="00413ED3"/>
    <w:rsid w:val="0041482B"/>
    <w:rsid w:val="004150A9"/>
    <w:rsid w:val="004155A7"/>
    <w:rsid w:val="00415D8C"/>
    <w:rsid w:val="004161CA"/>
    <w:rsid w:val="00416584"/>
    <w:rsid w:val="00417295"/>
    <w:rsid w:val="004173EF"/>
    <w:rsid w:val="004175B5"/>
    <w:rsid w:val="00417B8D"/>
    <w:rsid w:val="00417CB5"/>
    <w:rsid w:val="004202F0"/>
    <w:rsid w:val="00420350"/>
    <w:rsid w:val="00421507"/>
    <w:rsid w:val="00421D1A"/>
    <w:rsid w:val="0042236B"/>
    <w:rsid w:val="004227B4"/>
    <w:rsid w:val="004229AB"/>
    <w:rsid w:val="00422C28"/>
    <w:rsid w:val="004233D9"/>
    <w:rsid w:val="00423AE7"/>
    <w:rsid w:val="00423E5A"/>
    <w:rsid w:val="00423FA8"/>
    <w:rsid w:val="004246E5"/>
    <w:rsid w:val="0042499D"/>
    <w:rsid w:val="00425ACF"/>
    <w:rsid w:val="00425B91"/>
    <w:rsid w:val="00426C31"/>
    <w:rsid w:val="004279D4"/>
    <w:rsid w:val="00430AEF"/>
    <w:rsid w:val="004310D3"/>
    <w:rsid w:val="004313BD"/>
    <w:rsid w:val="00431A17"/>
    <w:rsid w:val="00431C4B"/>
    <w:rsid w:val="00432B30"/>
    <w:rsid w:val="00432BFF"/>
    <w:rsid w:val="00432C67"/>
    <w:rsid w:val="00432CC5"/>
    <w:rsid w:val="00433314"/>
    <w:rsid w:val="00433941"/>
    <w:rsid w:val="00433A04"/>
    <w:rsid w:val="00433C53"/>
    <w:rsid w:val="00434634"/>
    <w:rsid w:val="004347C4"/>
    <w:rsid w:val="004348A6"/>
    <w:rsid w:val="00434D35"/>
    <w:rsid w:val="00435022"/>
    <w:rsid w:val="0043523B"/>
    <w:rsid w:val="00435DA6"/>
    <w:rsid w:val="00435DEF"/>
    <w:rsid w:val="0043618D"/>
    <w:rsid w:val="00436696"/>
    <w:rsid w:val="00437502"/>
    <w:rsid w:val="00437518"/>
    <w:rsid w:val="00437828"/>
    <w:rsid w:val="00437C32"/>
    <w:rsid w:val="00437C88"/>
    <w:rsid w:val="00440427"/>
    <w:rsid w:val="00440B21"/>
    <w:rsid w:val="00441103"/>
    <w:rsid w:val="00442030"/>
    <w:rsid w:val="004420DE"/>
    <w:rsid w:val="00442241"/>
    <w:rsid w:val="0044252C"/>
    <w:rsid w:val="00443408"/>
    <w:rsid w:val="00443E21"/>
    <w:rsid w:val="00443EB3"/>
    <w:rsid w:val="00444455"/>
    <w:rsid w:val="00444CE1"/>
    <w:rsid w:val="004452D5"/>
    <w:rsid w:val="00445686"/>
    <w:rsid w:val="004456F5"/>
    <w:rsid w:val="00445E32"/>
    <w:rsid w:val="004463D6"/>
    <w:rsid w:val="00446474"/>
    <w:rsid w:val="00446E41"/>
    <w:rsid w:val="0044743E"/>
    <w:rsid w:val="0044748E"/>
    <w:rsid w:val="00447593"/>
    <w:rsid w:val="00447A2A"/>
    <w:rsid w:val="004503D9"/>
    <w:rsid w:val="00450875"/>
    <w:rsid w:val="00450C90"/>
    <w:rsid w:val="0045193B"/>
    <w:rsid w:val="00451D9B"/>
    <w:rsid w:val="0045302B"/>
    <w:rsid w:val="00454B0F"/>
    <w:rsid w:val="00455BA5"/>
    <w:rsid w:val="004569C0"/>
    <w:rsid w:val="00456D43"/>
    <w:rsid w:val="0045762C"/>
    <w:rsid w:val="00457A8E"/>
    <w:rsid w:val="00457DEA"/>
    <w:rsid w:val="0046008A"/>
    <w:rsid w:val="00460E82"/>
    <w:rsid w:val="004613AD"/>
    <w:rsid w:val="004617DE"/>
    <w:rsid w:val="00461A07"/>
    <w:rsid w:val="00461B37"/>
    <w:rsid w:val="004624D9"/>
    <w:rsid w:val="004624E7"/>
    <w:rsid w:val="00463914"/>
    <w:rsid w:val="004642DA"/>
    <w:rsid w:val="00464EB8"/>
    <w:rsid w:val="00464F14"/>
    <w:rsid w:val="00465775"/>
    <w:rsid w:val="00465B09"/>
    <w:rsid w:val="00465D19"/>
    <w:rsid w:val="0046698D"/>
    <w:rsid w:val="00466A9D"/>
    <w:rsid w:val="00467B2D"/>
    <w:rsid w:val="00467C7C"/>
    <w:rsid w:val="0047056B"/>
    <w:rsid w:val="00470BA8"/>
    <w:rsid w:val="004716C3"/>
    <w:rsid w:val="0047195C"/>
    <w:rsid w:val="00472213"/>
    <w:rsid w:val="00473EFF"/>
    <w:rsid w:val="00474EC7"/>
    <w:rsid w:val="0047620A"/>
    <w:rsid w:val="00476493"/>
    <w:rsid w:val="00477125"/>
    <w:rsid w:val="0047775D"/>
    <w:rsid w:val="004805D6"/>
    <w:rsid w:val="004806B5"/>
    <w:rsid w:val="004806F5"/>
    <w:rsid w:val="0048088D"/>
    <w:rsid w:val="004810A6"/>
    <w:rsid w:val="004817D8"/>
    <w:rsid w:val="00481F80"/>
    <w:rsid w:val="004825A1"/>
    <w:rsid w:val="00482C76"/>
    <w:rsid w:val="00482D8A"/>
    <w:rsid w:val="00483546"/>
    <w:rsid w:val="00483CCC"/>
    <w:rsid w:val="00484B02"/>
    <w:rsid w:val="00484E5B"/>
    <w:rsid w:val="004855DE"/>
    <w:rsid w:val="00485979"/>
    <w:rsid w:val="00486248"/>
    <w:rsid w:val="00487458"/>
    <w:rsid w:val="0048747E"/>
    <w:rsid w:val="00490050"/>
    <w:rsid w:val="00490C62"/>
    <w:rsid w:val="00491B5F"/>
    <w:rsid w:val="00491EB6"/>
    <w:rsid w:val="0049239E"/>
    <w:rsid w:val="004929A5"/>
    <w:rsid w:val="004936D2"/>
    <w:rsid w:val="00493719"/>
    <w:rsid w:val="00493774"/>
    <w:rsid w:val="004942D7"/>
    <w:rsid w:val="00494723"/>
    <w:rsid w:val="004949E1"/>
    <w:rsid w:val="00494BD8"/>
    <w:rsid w:val="00495FC5"/>
    <w:rsid w:val="00496270"/>
    <w:rsid w:val="0049627C"/>
    <w:rsid w:val="004966E6"/>
    <w:rsid w:val="0049777F"/>
    <w:rsid w:val="004977B7"/>
    <w:rsid w:val="0049785D"/>
    <w:rsid w:val="00497D63"/>
    <w:rsid w:val="00497EE3"/>
    <w:rsid w:val="004A0106"/>
    <w:rsid w:val="004A05EF"/>
    <w:rsid w:val="004A0BF9"/>
    <w:rsid w:val="004A0CA9"/>
    <w:rsid w:val="004A0DF2"/>
    <w:rsid w:val="004A10B8"/>
    <w:rsid w:val="004A139A"/>
    <w:rsid w:val="004A1606"/>
    <w:rsid w:val="004A1F75"/>
    <w:rsid w:val="004A2B3A"/>
    <w:rsid w:val="004A2C4A"/>
    <w:rsid w:val="004A30E5"/>
    <w:rsid w:val="004A3AB0"/>
    <w:rsid w:val="004A4600"/>
    <w:rsid w:val="004A482C"/>
    <w:rsid w:val="004A4C28"/>
    <w:rsid w:val="004A5661"/>
    <w:rsid w:val="004A56B6"/>
    <w:rsid w:val="004A5A75"/>
    <w:rsid w:val="004A5AE0"/>
    <w:rsid w:val="004A5C0E"/>
    <w:rsid w:val="004A6020"/>
    <w:rsid w:val="004A64B0"/>
    <w:rsid w:val="004A6523"/>
    <w:rsid w:val="004A7717"/>
    <w:rsid w:val="004A7A3F"/>
    <w:rsid w:val="004A7C45"/>
    <w:rsid w:val="004A7C6F"/>
    <w:rsid w:val="004A7CB4"/>
    <w:rsid w:val="004B05F9"/>
    <w:rsid w:val="004B0830"/>
    <w:rsid w:val="004B0CFC"/>
    <w:rsid w:val="004B1802"/>
    <w:rsid w:val="004B18D6"/>
    <w:rsid w:val="004B1E07"/>
    <w:rsid w:val="004B2ADD"/>
    <w:rsid w:val="004B33DA"/>
    <w:rsid w:val="004B39DF"/>
    <w:rsid w:val="004B3F8B"/>
    <w:rsid w:val="004B4412"/>
    <w:rsid w:val="004B4706"/>
    <w:rsid w:val="004B47EB"/>
    <w:rsid w:val="004B496D"/>
    <w:rsid w:val="004B4D0B"/>
    <w:rsid w:val="004B5A43"/>
    <w:rsid w:val="004B5FF1"/>
    <w:rsid w:val="004B6155"/>
    <w:rsid w:val="004B6349"/>
    <w:rsid w:val="004B642F"/>
    <w:rsid w:val="004B6F1A"/>
    <w:rsid w:val="004B7374"/>
    <w:rsid w:val="004B77AC"/>
    <w:rsid w:val="004B7926"/>
    <w:rsid w:val="004B7931"/>
    <w:rsid w:val="004B7E18"/>
    <w:rsid w:val="004B7FF0"/>
    <w:rsid w:val="004C0D69"/>
    <w:rsid w:val="004C1529"/>
    <w:rsid w:val="004C1794"/>
    <w:rsid w:val="004C21A0"/>
    <w:rsid w:val="004C2EDC"/>
    <w:rsid w:val="004C48EA"/>
    <w:rsid w:val="004C4AFA"/>
    <w:rsid w:val="004C63F5"/>
    <w:rsid w:val="004C6664"/>
    <w:rsid w:val="004C68B0"/>
    <w:rsid w:val="004C6C47"/>
    <w:rsid w:val="004C73E3"/>
    <w:rsid w:val="004C7445"/>
    <w:rsid w:val="004C7C12"/>
    <w:rsid w:val="004C7D06"/>
    <w:rsid w:val="004D075B"/>
    <w:rsid w:val="004D0B7D"/>
    <w:rsid w:val="004D1998"/>
    <w:rsid w:val="004D2101"/>
    <w:rsid w:val="004D2F8F"/>
    <w:rsid w:val="004D3171"/>
    <w:rsid w:val="004D3653"/>
    <w:rsid w:val="004D39BE"/>
    <w:rsid w:val="004D3C8A"/>
    <w:rsid w:val="004D4042"/>
    <w:rsid w:val="004D44C6"/>
    <w:rsid w:val="004D48AC"/>
    <w:rsid w:val="004D4F17"/>
    <w:rsid w:val="004D546C"/>
    <w:rsid w:val="004D5853"/>
    <w:rsid w:val="004D5F71"/>
    <w:rsid w:val="004D6E67"/>
    <w:rsid w:val="004D72BD"/>
    <w:rsid w:val="004D78DF"/>
    <w:rsid w:val="004D7B15"/>
    <w:rsid w:val="004E04D9"/>
    <w:rsid w:val="004E06C5"/>
    <w:rsid w:val="004E0D57"/>
    <w:rsid w:val="004E19AE"/>
    <w:rsid w:val="004E2731"/>
    <w:rsid w:val="004E29D5"/>
    <w:rsid w:val="004E2B6E"/>
    <w:rsid w:val="004E339E"/>
    <w:rsid w:val="004E3DB5"/>
    <w:rsid w:val="004E561B"/>
    <w:rsid w:val="004E5F53"/>
    <w:rsid w:val="004E60F5"/>
    <w:rsid w:val="004E6316"/>
    <w:rsid w:val="004E668B"/>
    <w:rsid w:val="004E6819"/>
    <w:rsid w:val="004E6826"/>
    <w:rsid w:val="004E725E"/>
    <w:rsid w:val="004E7BBD"/>
    <w:rsid w:val="004E7F34"/>
    <w:rsid w:val="004F0660"/>
    <w:rsid w:val="004F0752"/>
    <w:rsid w:val="004F0F3F"/>
    <w:rsid w:val="004F0F55"/>
    <w:rsid w:val="004F11DD"/>
    <w:rsid w:val="004F1712"/>
    <w:rsid w:val="004F2A2F"/>
    <w:rsid w:val="004F3780"/>
    <w:rsid w:val="004F4A7E"/>
    <w:rsid w:val="004F6F6C"/>
    <w:rsid w:val="004F73C9"/>
    <w:rsid w:val="004F741D"/>
    <w:rsid w:val="004F7765"/>
    <w:rsid w:val="005005E7"/>
    <w:rsid w:val="005007A9"/>
    <w:rsid w:val="00500CB4"/>
    <w:rsid w:val="00500D46"/>
    <w:rsid w:val="00502DA3"/>
    <w:rsid w:val="00502E91"/>
    <w:rsid w:val="0050332B"/>
    <w:rsid w:val="00503A2A"/>
    <w:rsid w:val="005044FB"/>
    <w:rsid w:val="005045EA"/>
    <w:rsid w:val="005045F8"/>
    <w:rsid w:val="0050522A"/>
    <w:rsid w:val="00505531"/>
    <w:rsid w:val="005058B1"/>
    <w:rsid w:val="00505920"/>
    <w:rsid w:val="00506B51"/>
    <w:rsid w:val="00506D1E"/>
    <w:rsid w:val="005075E1"/>
    <w:rsid w:val="005101EC"/>
    <w:rsid w:val="00510DCA"/>
    <w:rsid w:val="0051125E"/>
    <w:rsid w:val="005114BC"/>
    <w:rsid w:val="005116FF"/>
    <w:rsid w:val="005120F2"/>
    <w:rsid w:val="00512190"/>
    <w:rsid w:val="00512371"/>
    <w:rsid w:val="0051244F"/>
    <w:rsid w:val="00512DFE"/>
    <w:rsid w:val="0051321F"/>
    <w:rsid w:val="005139DB"/>
    <w:rsid w:val="00513A8C"/>
    <w:rsid w:val="0051450C"/>
    <w:rsid w:val="00514651"/>
    <w:rsid w:val="00515387"/>
    <w:rsid w:val="0051556E"/>
    <w:rsid w:val="005155D7"/>
    <w:rsid w:val="00515D20"/>
    <w:rsid w:val="00517C66"/>
    <w:rsid w:val="0052099F"/>
    <w:rsid w:val="00520C8A"/>
    <w:rsid w:val="00522F1B"/>
    <w:rsid w:val="0052304D"/>
    <w:rsid w:val="00523569"/>
    <w:rsid w:val="0052361B"/>
    <w:rsid w:val="00524390"/>
    <w:rsid w:val="00525B36"/>
    <w:rsid w:val="00526C4E"/>
    <w:rsid w:val="00526C9E"/>
    <w:rsid w:val="00527826"/>
    <w:rsid w:val="00530993"/>
    <w:rsid w:val="00530F5E"/>
    <w:rsid w:val="005312E7"/>
    <w:rsid w:val="00531420"/>
    <w:rsid w:val="005315E5"/>
    <w:rsid w:val="005317AE"/>
    <w:rsid w:val="00532AC5"/>
    <w:rsid w:val="00533170"/>
    <w:rsid w:val="005340C1"/>
    <w:rsid w:val="005344F3"/>
    <w:rsid w:val="00535D32"/>
    <w:rsid w:val="005361BA"/>
    <w:rsid w:val="00536415"/>
    <w:rsid w:val="005368F4"/>
    <w:rsid w:val="00537853"/>
    <w:rsid w:val="00537A01"/>
    <w:rsid w:val="0054031B"/>
    <w:rsid w:val="005403AA"/>
    <w:rsid w:val="005405A4"/>
    <w:rsid w:val="00540BD8"/>
    <w:rsid w:val="00540D41"/>
    <w:rsid w:val="005413A5"/>
    <w:rsid w:val="00541695"/>
    <w:rsid w:val="005417E8"/>
    <w:rsid w:val="00541856"/>
    <w:rsid w:val="00541DBA"/>
    <w:rsid w:val="00541ECA"/>
    <w:rsid w:val="0054209C"/>
    <w:rsid w:val="00542221"/>
    <w:rsid w:val="005422F9"/>
    <w:rsid w:val="0054239E"/>
    <w:rsid w:val="00542534"/>
    <w:rsid w:val="00542C17"/>
    <w:rsid w:val="0054305B"/>
    <w:rsid w:val="00543237"/>
    <w:rsid w:val="00543B32"/>
    <w:rsid w:val="00543FF2"/>
    <w:rsid w:val="00544D62"/>
    <w:rsid w:val="00545175"/>
    <w:rsid w:val="00545FB2"/>
    <w:rsid w:val="0054620E"/>
    <w:rsid w:val="005462A2"/>
    <w:rsid w:val="0054636F"/>
    <w:rsid w:val="00546A09"/>
    <w:rsid w:val="00546FE7"/>
    <w:rsid w:val="00547471"/>
    <w:rsid w:val="005508B3"/>
    <w:rsid w:val="00550966"/>
    <w:rsid w:val="00550C90"/>
    <w:rsid w:val="00551338"/>
    <w:rsid w:val="00551B1B"/>
    <w:rsid w:val="005520E9"/>
    <w:rsid w:val="00552620"/>
    <w:rsid w:val="005527AE"/>
    <w:rsid w:val="00552926"/>
    <w:rsid w:val="00552B2E"/>
    <w:rsid w:val="005531C1"/>
    <w:rsid w:val="00553C2E"/>
    <w:rsid w:val="00553FCC"/>
    <w:rsid w:val="00554826"/>
    <w:rsid w:val="00555311"/>
    <w:rsid w:val="0055592C"/>
    <w:rsid w:val="00555BB8"/>
    <w:rsid w:val="00555F99"/>
    <w:rsid w:val="00556090"/>
    <w:rsid w:val="005562B3"/>
    <w:rsid w:val="00557168"/>
    <w:rsid w:val="00557606"/>
    <w:rsid w:val="0056132F"/>
    <w:rsid w:val="005614FD"/>
    <w:rsid w:val="00561F24"/>
    <w:rsid w:val="005628C2"/>
    <w:rsid w:val="00562CBE"/>
    <w:rsid w:val="00562CE3"/>
    <w:rsid w:val="00562F27"/>
    <w:rsid w:val="00563629"/>
    <w:rsid w:val="005646AB"/>
    <w:rsid w:val="005659A1"/>
    <w:rsid w:val="00566A5A"/>
    <w:rsid w:val="005702C8"/>
    <w:rsid w:val="00570ADA"/>
    <w:rsid w:val="00570B4D"/>
    <w:rsid w:val="00572A49"/>
    <w:rsid w:val="00572EC4"/>
    <w:rsid w:val="00573986"/>
    <w:rsid w:val="005742BF"/>
    <w:rsid w:val="005752BD"/>
    <w:rsid w:val="00575E7E"/>
    <w:rsid w:val="00576534"/>
    <w:rsid w:val="00576A4D"/>
    <w:rsid w:val="0057712B"/>
    <w:rsid w:val="005772F5"/>
    <w:rsid w:val="005773B8"/>
    <w:rsid w:val="00577446"/>
    <w:rsid w:val="00577BF9"/>
    <w:rsid w:val="00580FA2"/>
    <w:rsid w:val="00581993"/>
    <w:rsid w:val="00582870"/>
    <w:rsid w:val="0058348C"/>
    <w:rsid w:val="00583C7A"/>
    <w:rsid w:val="00584873"/>
    <w:rsid w:val="00584B32"/>
    <w:rsid w:val="00584CEE"/>
    <w:rsid w:val="005855E3"/>
    <w:rsid w:val="00585C4F"/>
    <w:rsid w:val="00586AD6"/>
    <w:rsid w:val="00587955"/>
    <w:rsid w:val="00587F17"/>
    <w:rsid w:val="00590E39"/>
    <w:rsid w:val="00590EC7"/>
    <w:rsid w:val="00591988"/>
    <w:rsid w:val="00591CCE"/>
    <w:rsid w:val="00591F77"/>
    <w:rsid w:val="005924F6"/>
    <w:rsid w:val="00592B10"/>
    <w:rsid w:val="00592CE1"/>
    <w:rsid w:val="00594651"/>
    <w:rsid w:val="00595ACA"/>
    <w:rsid w:val="0059633E"/>
    <w:rsid w:val="00596861"/>
    <w:rsid w:val="00597432"/>
    <w:rsid w:val="0059745D"/>
    <w:rsid w:val="00597490"/>
    <w:rsid w:val="00597EDA"/>
    <w:rsid w:val="00597FF2"/>
    <w:rsid w:val="005A0EB0"/>
    <w:rsid w:val="005A0FDF"/>
    <w:rsid w:val="005A12C9"/>
    <w:rsid w:val="005A1510"/>
    <w:rsid w:val="005A157C"/>
    <w:rsid w:val="005A1B36"/>
    <w:rsid w:val="005A2945"/>
    <w:rsid w:val="005A2C3B"/>
    <w:rsid w:val="005A3C74"/>
    <w:rsid w:val="005A3C82"/>
    <w:rsid w:val="005A4E2F"/>
    <w:rsid w:val="005A4EC3"/>
    <w:rsid w:val="005A553A"/>
    <w:rsid w:val="005A55BA"/>
    <w:rsid w:val="005A58FA"/>
    <w:rsid w:val="005A5CF1"/>
    <w:rsid w:val="005A61A4"/>
    <w:rsid w:val="005A7341"/>
    <w:rsid w:val="005A79E1"/>
    <w:rsid w:val="005B0E37"/>
    <w:rsid w:val="005B1044"/>
    <w:rsid w:val="005B1653"/>
    <w:rsid w:val="005B16A1"/>
    <w:rsid w:val="005B1A2C"/>
    <w:rsid w:val="005B29D7"/>
    <w:rsid w:val="005B2B5F"/>
    <w:rsid w:val="005B2D58"/>
    <w:rsid w:val="005B30BC"/>
    <w:rsid w:val="005B3C8B"/>
    <w:rsid w:val="005B47DD"/>
    <w:rsid w:val="005B49FD"/>
    <w:rsid w:val="005B4C37"/>
    <w:rsid w:val="005B51EE"/>
    <w:rsid w:val="005B5509"/>
    <w:rsid w:val="005B5685"/>
    <w:rsid w:val="005B5B4D"/>
    <w:rsid w:val="005B67BF"/>
    <w:rsid w:val="005B6B82"/>
    <w:rsid w:val="005B7A3A"/>
    <w:rsid w:val="005C04A7"/>
    <w:rsid w:val="005C05D2"/>
    <w:rsid w:val="005C126E"/>
    <w:rsid w:val="005C1440"/>
    <w:rsid w:val="005C1A11"/>
    <w:rsid w:val="005C200E"/>
    <w:rsid w:val="005C20CB"/>
    <w:rsid w:val="005C2F80"/>
    <w:rsid w:val="005C41B9"/>
    <w:rsid w:val="005C52F6"/>
    <w:rsid w:val="005C55F1"/>
    <w:rsid w:val="005C6618"/>
    <w:rsid w:val="005C6BB3"/>
    <w:rsid w:val="005C73B9"/>
    <w:rsid w:val="005C768E"/>
    <w:rsid w:val="005C7E60"/>
    <w:rsid w:val="005C7ED4"/>
    <w:rsid w:val="005D027B"/>
    <w:rsid w:val="005D03E2"/>
    <w:rsid w:val="005D0483"/>
    <w:rsid w:val="005D076E"/>
    <w:rsid w:val="005D0DA7"/>
    <w:rsid w:val="005D1AF3"/>
    <w:rsid w:val="005D2429"/>
    <w:rsid w:val="005D2537"/>
    <w:rsid w:val="005D371E"/>
    <w:rsid w:val="005D3AE9"/>
    <w:rsid w:val="005D3FC0"/>
    <w:rsid w:val="005D4C54"/>
    <w:rsid w:val="005D4C88"/>
    <w:rsid w:val="005D5FBC"/>
    <w:rsid w:val="005D6090"/>
    <w:rsid w:val="005D63E9"/>
    <w:rsid w:val="005D6777"/>
    <w:rsid w:val="005D6C30"/>
    <w:rsid w:val="005D6E1E"/>
    <w:rsid w:val="005D6F70"/>
    <w:rsid w:val="005D7331"/>
    <w:rsid w:val="005D79D2"/>
    <w:rsid w:val="005D7C76"/>
    <w:rsid w:val="005E001A"/>
    <w:rsid w:val="005E0624"/>
    <w:rsid w:val="005E08AD"/>
    <w:rsid w:val="005E160A"/>
    <w:rsid w:val="005E1643"/>
    <w:rsid w:val="005E1FC6"/>
    <w:rsid w:val="005E27D7"/>
    <w:rsid w:val="005E2ED8"/>
    <w:rsid w:val="005E32B1"/>
    <w:rsid w:val="005E38E4"/>
    <w:rsid w:val="005E4101"/>
    <w:rsid w:val="005E487E"/>
    <w:rsid w:val="005E48B9"/>
    <w:rsid w:val="005E4927"/>
    <w:rsid w:val="005E4EA0"/>
    <w:rsid w:val="005E504A"/>
    <w:rsid w:val="005E53A8"/>
    <w:rsid w:val="005E634E"/>
    <w:rsid w:val="005E6A55"/>
    <w:rsid w:val="005E6FC9"/>
    <w:rsid w:val="005E78E7"/>
    <w:rsid w:val="005E79AB"/>
    <w:rsid w:val="005E7C2C"/>
    <w:rsid w:val="005F08FB"/>
    <w:rsid w:val="005F08FE"/>
    <w:rsid w:val="005F1EC5"/>
    <w:rsid w:val="005F21C2"/>
    <w:rsid w:val="005F2662"/>
    <w:rsid w:val="005F2715"/>
    <w:rsid w:val="005F28AA"/>
    <w:rsid w:val="005F2D68"/>
    <w:rsid w:val="005F391B"/>
    <w:rsid w:val="005F53B0"/>
    <w:rsid w:val="005F5F43"/>
    <w:rsid w:val="005F5F4B"/>
    <w:rsid w:val="005F769D"/>
    <w:rsid w:val="005F7AF6"/>
    <w:rsid w:val="006002B9"/>
    <w:rsid w:val="006015A7"/>
    <w:rsid w:val="006020CB"/>
    <w:rsid w:val="00602186"/>
    <w:rsid w:val="006023A7"/>
    <w:rsid w:val="006027E7"/>
    <w:rsid w:val="00602AD8"/>
    <w:rsid w:val="00602B9D"/>
    <w:rsid w:val="00602EB4"/>
    <w:rsid w:val="006036EF"/>
    <w:rsid w:val="006039F6"/>
    <w:rsid w:val="00603C86"/>
    <w:rsid w:val="00603DC1"/>
    <w:rsid w:val="00603E97"/>
    <w:rsid w:val="0060515F"/>
    <w:rsid w:val="006056FA"/>
    <w:rsid w:val="00605A3A"/>
    <w:rsid w:val="00606013"/>
    <w:rsid w:val="00606224"/>
    <w:rsid w:val="00607E86"/>
    <w:rsid w:val="006102F8"/>
    <w:rsid w:val="00610699"/>
    <w:rsid w:val="0061127A"/>
    <w:rsid w:val="00611451"/>
    <w:rsid w:val="00612967"/>
    <w:rsid w:val="00612972"/>
    <w:rsid w:val="0061357E"/>
    <w:rsid w:val="006137D9"/>
    <w:rsid w:val="00613B8C"/>
    <w:rsid w:val="00614C14"/>
    <w:rsid w:val="00614D36"/>
    <w:rsid w:val="00614EBD"/>
    <w:rsid w:val="00614EE7"/>
    <w:rsid w:val="0061561E"/>
    <w:rsid w:val="00615798"/>
    <w:rsid w:val="0061589C"/>
    <w:rsid w:val="00615A38"/>
    <w:rsid w:val="00616848"/>
    <w:rsid w:val="00616959"/>
    <w:rsid w:val="00617519"/>
    <w:rsid w:val="006177BB"/>
    <w:rsid w:val="00620109"/>
    <w:rsid w:val="00620132"/>
    <w:rsid w:val="0062092C"/>
    <w:rsid w:val="00620D8C"/>
    <w:rsid w:val="00622B9D"/>
    <w:rsid w:val="00622C55"/>
    <w:rsid w:val="00622F96"/>
    <w:rsid w:val="0062374D"/>
    <w:rsid w:val="006238BD"/>
    <w:rsid w:val="00623C54"/>
    <w:rsid w:val="00623D1C"/>
    <w:rsid w:val="006244E3"/>
    <w:rsid w:val="006245D8"/>
    <w:rsid w:val="00624A6D"/>
    <w:rsid w:val="00625E67"/>
    <w:rsid w:val="006265D9"/>
    <w:rsid w:val="0062692F"/>
    <w:rsid w:val="006277CF"/>
    <w:rsid w:val="006278A5"/>
    <w:rsid w:val="00627A3A"/>
    <w:rsid w:val="0063036F"/>
    <w:rsid w:val="006305CF"/>
    <w:rsid w:val="006320D3"/>
    <w:rsid w:val="0063213A"/>
    <w:rsid w:val="0063292A"/>
    <w:rsid w:val="00632BDF"/>
    <w:rsid w:val="00632F22"/>
    <w:rsid w:val="00633163"/>
    <w:rsid w:val="0063378F"/>
    <w:rsid w:val="00633EFA"/>
    <w:rsid w:val="00634102"/>
    <w:rsid w:val="006349A1"/>
    <w:rsid w:val="00634A94"/>
    <w:rsid w:val="0063553D"/>
    <w:rsid w:val="006359E8"/>
    <w:rsid w:val="006364CD"/>
    <w:rsid w:val="0063678D"/>
    <w:rsid w:val="006367DB"/>
    <w:rsid w:val="00636A14"/>
    <w:rsid w:val="00636A18"/>
    <w:rsid w:val="006370C0"/>
    <w:rsid w:val="00637D80"/>
    <w:rsid w:val="00637F83"/>
    <w:rsid w:val="006409E8"/>
    <w:rsid w:val="00640DDF"/>
    <w:rsid w:val="0064175E"/>
    <w:rsid w:val="0064217F"/>
    <w:rsid w:val="00642470"/>
    <w:rsid w:val="00642E65"/>
    <w:rsid w:val="00643785"/>
    <w:rsid w:val="006439EE"/>
    <w:rsid w:val="00643C11"/>
    <w:rsid w:val="00643FF2"/>
    <w:rsid w:val="0064452E"/>
    <w:rsid w:val="00644D35"/>
    <w:rsid w:val="00645A9E"/>
    <w:rsid w:val="00645ED2"/>
    <w:rsid w:val="00646F2C"/>
    <w:rsid w:val="0064720A"/>
    <w:rsid w:val="006506AE"/>
    <w:rsid w:val="006509AD"/>
    <w:rsid w:val="00651539"/>
    <w:rsid w:val="006519F1"/>
    <w:rsid w:val="00652A9E"/>
    <w:rsid w:val="00652FD4"/>
    <w:rsid w:val="00653246"/>
    <w:rsid w:val="0065327D"/>
    <w:rsid w:val="006532BD"/>
    <w:rsid w:val="006541A0"/>
    <w:rsid w:val="00654A6D"/>
    <w:rsid w:val="006552C4"/>
    <w:rsid w:val="006555C3"/>
    <w:rsid w:val="00656415"/>
    <w:rsid w:val="00656A62"/>
    <w:rsid w:val="00656AD3"/>
    <w:rsid w:val="00656B0D"/>
    <w:rsid w:val="00660865"/>
    <w:rsid w:val="0066091F"/>
    <w:rsid w:val="00661140"/>
    <w:rsid w:val="00661372"/>
    <w:rsid w:val="00661660"/>
    <w:rsid w:val="00661755"/>
    <w:rsid w:val="006621AA"/>
    <w:rsid w:val="00662233"/>
    <w:rsid w:val="00662414"/>
    <w:rsid w:val="00663698"/>
    <w:rsid w:val="00663963"/>
    <w:rsid w:val="006649E0"/>
    <w:rsid w:val="00665412"/>
    <w:rsid w:val="00665887"/>
    <w:rsid w:val="00665AC1"/>
    <w:rsid w:val="00665DBF"/>
    <w:rsid w:val="00666701"/>
    <w:rsid w:val="00666DDD"/>
    <w:rsid w:val="00667593"/>
    <w:rsid w:val="006702C9"/>
    <w:rsid w:val="006705AF"/>
    <w:rsid w:val="006705E3"/>
    <w:rsid w:val="0067127C"/>
    <w:rsid w:val="0067156B"/>
    <w:rsid w:val="00671D97"/>
    <w:rsid w:val="00672631"/>
    <w:rsid w:val="00672CCF"/>
    <w:rsid w:val="00672E88"/>
    <w:rsid w:val="00673BC9"/>
    <w:rsid w:val="006751EF"/>
    <w:rsid w:val="006753F6"/>
    <w:rsid w:val="0067552C"/>
    <w:rsid w:val="00675587"/>
    <w:rsid w:val="006759ED"/>
    <w:rsid w:val="00675B91"/>
    <w:rsid w:val="00675E6F"/>
    <w:rsid w:val="00676569"/>
    <w:rsid w:val="0067698E"/>
    <w:rsid w:val="00676EC2"/>
    <w:rsid w:val="00677688"/>
    <w:rsid w:val="00677966"/>
    <w:rsid w:val="006812A6"/>
    <w:rsid w:val="0068170C"/>
    <w:rsid w:val="00681855"/>
    <w:rsid w:val="00681B05"/>
    <w:rsid w:val="00682756"/>
    <w:rsid w:val="006828E5"/>
    <w:rsid w:val="00682E3D"/>
    <w:rsid w:val="00683056"/>
    <w:rsid w:val="0068362B"/>
    <w:rsid w:val="0068385E"/>
    <w:rsid w:val="006838EA"/>
    <w:rsid w:val="00683C5E"/>
    <w:rsid w:val="00685533"/>
    <w:rsid w:val="0068565C"/>
    <w:rsid w:val="00686020"/>
    <w:rsid w:val="00687D1E"/>
    <w:rsid w:val="00687DB5"/>
    <w:rsid w:val="00690C6C"/>
    <w:rsid w:val="00690CDA"/>
    <w:rsid w:val="00690EDD"/>
    <w:rsid w:val="00691F68"/>
    <w:rsid w:val="006926E2"/>
    <w:rsid w:val="00694F36"/>
    <w:rsid w:val="00695060"/>
    <w:rsid w:val="00695462"/>
    <w:rsid w:val="00695617"/>
    <w:rsid w:val="00696102"/>
    <w:rsid w:val="00696596"/>
    <w:rsid w:val="00696ABF"/>
    <w:rsid w:val="00697217"/>
    <w:rsid w:val="00697551"/>
    <w:rsid w:val="006A00C1"/>
    <w:rsid w:val="006A0536"/>
    <w:rsid w:val="006A099B"/>
    <w:rsid w:val="006A0B55"/>
    <w:rsid w:val="006A0B6A"/>
    <w:rsid w:val="006A1306"/>
    <w:rsid w:val="006A1FFF"/>
    <w:rsid w:val="006A204B"/>
    <w:rsid w:val="006A22DB"/>
    <w:rsid w:val="006A2340"/>
    <w:rsid w:val="006A254C"/>
    <w:rsid w:val="006A2622"/>
    <w:rsid w:val="006A2ABB"/>
    <w:rsid w:val="006A2B2B"/>
    <w:rsid w:val="006A3D54"/>
    <w:rsid w:val="006A4818"/>
    <w:rsid w:val="006A554C"/>
    <w:rsid w:val="006A68FA"/>
    <w:rsid w:val="006A6C60"/>
    <w:rsid w:val="006B03D7"/>
    <w:rsid w:val="006B2922"/>
    <w:rsid w:val="006B3A7B"/>
    <w:rsid w:val="006B3B05"/>
    <w:rsid w:val="006B3EB1"/>
    <w:rsid w:val="006B3EC9"/>
    <w:rsid w:val="006B43B3"/>
    <w:rsid w:val="006B490C"/>
    <w:rsid w:val="006B500B"/>
    <w:rsid w:val="006B54E3"/>
    <w:rsid w:val="006B55F0"/>
    <w:rsid w:val="006B5E7A"/>
    <w:rsid w:val="006B603A"/>
    <w:rsid w:val="006B631E"/>
    <w:rsid w:val="006B640D"/>
    <w:rsid w:val="006B72D2"/>
    <w:rsid w:val="006B74E7"/>
    <w:rsid w:val="006B78AD"/>
    <w:rsid w:val="006B7C50"/>
    <w:rsid w:val="006C0129"/>
    <w:rsid w:val="006C063C"/>
    <w:rsid w:val="006C0ACB"/>
    <w:rsid w:val="006C1FEF"/>
    <w:rsid w:val="006C22DB"/>
    <w:rsid w:val="006C2324"/>
    <w:rsid w:val="006C23CD"/>
    <w:rsid w:val="006C3A3B"/>
    <w:rsid w:val="006C3DCA"/>
    <w:rsid w:val="006C40E9"/>
    <w:rsid w:val="006C4222"/>
    <w:rsid w:val="006C4577"/>
    <w:rsid w:val="006C4713"/>
    <w:rsid w:val="006C48CB"/>
    <w:rsid w:val="006C4E4E"/>
    <w:rsid w:val="006C52D1"/>
    <w:rsid w:val="006C5326"/>
    <w:rsid w:val="006C6209"/>
    <w:rsid w:val="006C6421"/>
    <w:rsid w:val="006C6D8D"/>
    <w:rsid w:val="006C6DD0"/>
    <w:rsid w:val="006C798C"/>
    <w:rsid w:val="006D105D"/>
    <w:rsid w:val="006D18A0"/>
    <w:rsid w:val="006D1CFB"/>
    <w:rsid w:val="006D1E35"/>
    <w:rsid w:val="006D2113"/>
    <w:rsid w:val="006D22EE"/>
    <w:rsid w:val="006D2ED9"/>
    <w:rsid w:val="006D308C"/>
    <w:rsid w:val="006D3ABA"/>
    <w:rsid w:val="006D4122"/>
    <w:rsid w:val="006D4376"/>
    <w:rsid w:val="006D4493"/>
    <w:rsid w:val="006D4D59"/>
    <w:rsid w:val="006D51A1"/>
    <w:rsid w:val="006D5479"/>
    <w:rsid w:val="006D6AFC"/>
    <w:rsid w:val="006D7011"/>
    <w:rsid w:val="006D7565"/>
    <w:rsid w:val="006D7B9C"/>
    <w:rsid w:val="006E0013"/>
    <w:rsid w:val="006E00E0"/>
    <w:rsid w:val="006E0535"/>
    <w:rsid w:val="006E05B3"/>
    <w:rsid w:val="006E0874"/>
    <w:rsid w:val="006E0C56"/>
    <w:rsid w:val="006E0CC7"/>
    <w:rsid w:val="006E19BA"/>
    <w:rsid w:val="006E1B9A"/>
    <w:rsid w:val="006E1EBB"/>
    <w:rsid w:val="006E1F30"/>
    <w:rsid w:val="006E2313"/>
    <w:rsid w:val="006E2614"/>
    <w:rsid w:val="006E3012"/>
    <w:rsid w:val="006E44EB"/>
    <w:rsid w:val="006E4B5C"/>
    <w:rsid w:val="006E656B"/>
    <w:rsid w:val="006E6AEE"/>
    <w:rsid w:val="006E6CF6"/>
    <w:rsid w:val="006E6FDF"/>
    <w:rsid w:val="006E7345"/>
    <w:rsid w:val="006E7DBD"/>
    <w:rsid w:val="006E7F9B"/>
    <w:rsid w:val="006E7FA2"/>
    <w:rsid w:val="006F06E6"/>
    <w:rsid w:val="006F0820"/>
    <w:rsid w:val="006F30F6"/>
    <w:rsid w:val="006F330B"/>
    <w:rsid w:val="006F3D4F"/>
    <w:rsid w:val="006F476E"/>
    <w:rsid w:val="006F56CA"/>
    <w:rsid w:val="006F5942"/>
    <w:rsid w:val="006F5BE9"/>
    <w:rsid w:val="006F5C4E"/>
    <w:rsid w:val="006F68E5"/>
    <w:rsid w:val="006F6B2F"/>
    <w:rsid w:val="006F726B"/>
    <w:rsid w:val="006F79B3"/>
    <w:rsid w:val="00700499"/>
    <w:rsid w:val="00700E08"/>
    <w:rsid w:val="007010D9"/>
    <w:rsid w:val="007018FB"/>
    <w:rsid w:val="007023D2"/>
    <w:rsid w:val="00702730"/>
    <w:rsid w:val="00702F9B"/>
    <w:rsid w:val="00702FB3"/>
    <w:rsid w:val="00703056"/>
    <w:rsid w:val="00703772"/>
    <w:rsid w:val="00703977"/>
    <w:rsid w:val="00703B4A"/>
    <w:rsid w:val="00704103"/>
    <w:rsid w:val="00704B31"/>
    <w:rsid w:val="00704DB0"/>
    <w:rsid w:val="00704E72"/>
    <w:rsid w:val="00705335"/>
    <w:rsid w:val="0070546C"/>
    <w:rsid w:val="007054B5"/>
    <w:rsid w:val="00705855"/>
    <w:rsid w:val="00705C55"/>
    <w:rsid w:val="00706055"/>
    <w:rsid w:val="00706840"/>
    <w:rsid w:val="00710570"/>
    <w:rsid w:val="007106A7"/>
    <w:rsid w:val="00711462"/>
    <w:rsid w:val="007128CC"/>
    <w:rsid w:val="0071338A"/>
    <w:rsid w:val="007139B9"/>
    <w:rsid w:val="00713F60"/>
    <w:rsid w:val="007148DB"/>
    <w:rsid w:val="00715399"/>
    <w:rsid w:val="00715E37"/>
    <w:rsid w:val="007164D0"/>
    <w:rsid w:val="00716964"/>
    <w:rsid w:val="00716972"/>
    <w:rsid w:val="007175BC"/>
    <w:rsid w:val="007177BE"/>
    <w:rsid w:val="007215B4"/>
    <w:rsid w:val="007216AE"/>
    <w:rsid w:val="00721749"/>
    <w:rsid w:val="00721E32"/>
    <w:rsid w:val="00722416"/>
    <w:rsid w:val="00722F7B"/>
    <w:rsid w:val="007230F5"/>
    <w:rsid w:val="007232C8"/>
    <w:rsid w:val="00723BC3"/>
    <w:rsid w:val="00723F18"/>
    <w:rsid w:val="00724C4A"/>
    <w:rsid w:val="00725694"/>
    <w:rsid w:val="007260C0"/>
    <w:rsid w:val="007277D8"/>
    <w:rsid w:val="00727B93"/>
    <w:rsid w:val="00727D1B"/>
    <w:rsid w:val="00727FE2"/>
    <w:rsid w:val="0073009E"/>
    <w:rsid w:val="00730647"/>
    <w:rsid w:val="00731622"/>
    <w:rsid w:val="00731F01"/>
    <w:rsid w:val="00731F9B"/>
    <w:rsid w:val="007320F0"/>
    <w:rsid w:val="00732A87"/>
    <w:rsid w:val="00732D87"/>
    <w:rsid w:val="00733039"/>
    <w:rsid w:val="00734639"/>
    <w:rsid w:val="00735D29"/>
    <w:rsid w:val="00736D7C"/>
    <w:rsid w:val="00736EB5"/>
    <w:rsid w:val="00737205"/>
    <w:rsid w:val="00737AE8"/>
    <w:rsid w:val="00740BDC"/>
    <w:rsid w:val="00740E7C"/>
    <w:rsid w:val="007412AC"/>
    <w:rsid w:val="007413EA"/>
    <w:rsid w:val="00743542"/>
    <w:rsid w:val="00743D08"/>
    <w:rsid w:val="007444BB"/>
    <w:rsid w:val="00745113"/>
    <w:rsid w:val="00745466"/>
    <w:rsid w:val="007456D2"/>
    <w:rsid w:val="00745E90"/>
    <w:rsid w:val="00746C6A"/>
    <w:rsid w:val="007477B1"/>
    <w:rsid w:val="00747E73"/>
    <w:rsid w:val="00750332"/>
    <w:rsid w:val="00750355"/>
    <w:rsid w:val="00750517"/>
    <w:rsid w:val="00750F8A"/>
    <w:rsid w:val="00751142"/>
    <w:rsid w:val="007517BA"/>
    <w:rsid w:val="00751C6C"/>
    <w:rsid w:val="00752BB2"/>
    <w:rsid w:val="00752BB4"/>
    <w:rsid w:val="00752E85"/>
    <w:rsid w:val="00753292"/>
    <w:rsid w:val="00753746"/>
    <w:rsid w:val="00753C89"/>
    <w:rsid w:val="00754CD4"/>
    <w:rsid w:val="00755A34"/>
    <w:rsid w:val="0075718B"/>
    <w:rsid w:val="007579C7"/>
    <w:rsid w:val="00757B02"/>
    <w:rsid w:val="00757D93"/>
    <w:rsid w:val="00761E42"/>
    <w:rsid w:val="007620E2"/>
    <w:rsid w:val="00762FB6"/>
    <w:rsid w:val="007632F3"/>
    <w:rsid w:val="007634BB"/>
    <w:rsid w:val="007635D5"/>
    <w:rsid w:val="00764927"/>
    <w:rsid w:val="00764F4E"/>
    <w:rsid w:val="0076585F"/>
    <w:rsid w:val="00766861"/>
    <w:rsid w:val="00767AA8"/>
    <w:rsid w:val="007702C3"/>
    <w:rsid w:val="0077050A"/>
    <w:rsid w:val="00770B40"/>
    <w:rsid w:val="00770BDA"/>
    <w:rsid w:val="00771C6E"/>
    <w:rsid w:val="00772C5F"/>
    <w:rsid w:val="00772DF0"/>
    <w:rsid w:val="00773426"/>
    <w:rsid w:val="007735A5"/>
    <w:rsid w:val="00773725"/>
    <w:rsid w:val="007737A4"/>
    <w:rsid w:val="00773BB9"/>
    <w:rsid w:val="007744DC"/>
    <w:rsid w:val="007749AA"/>
    <w:rsid w:val="00774B3C"/>
    <w:rsid w:val="007751C0"/>
    <w:rsid w:val="007756EF"/>
    <w:rsid w:val="007758A3"/>
    <w:rsid w:val="00775ED5"/>
    <w:rsid w:val="00775F94"/>
    <w:rsid w:val="00776672"/>
    <w:rsid w:val="007769D5"/>
    <w:rsid w:val="00776E39"/>
    <w:rsid w:val="00776EC0"/>
    <w:rsid w:val="0077789E"/>
    <w:rsid w:val="00777A61"/>
    <w:rsid w:val="0078010E"/>
    <w:rsid w:val="0078096C"/>
    <w:rsid w:val="007809F5"/>
    <w:rsid w:val="00780F0B"/>
    <w:rsid w:val="0078173C"/>
    <w:rsid w:val="00781BC7"/>
    <w:rsid w:val="00782262"/>
    <w:rsid w:val="007824F6"/>
    <w:rsid w:val="0078250C"/>
    <w:rsid w:val="007827E8"/>
    <w:rsid w:val="007828A0"/>
    <w:rsid w:val="00782D0B"/>
    <w:rsid w:val="007830EF"/>
    <w:rsid w:val="0078329F"/>
    <w:rsid w:val="00783515"/>
    <w:rsid w:val="00783A3D"/>
    <w:rsid w:val="00783B92"/>
    <w:rsid w:val="00783EB1"/>
    <w:rsid w:val="0078401F"/>
    <w:rsid w:val="00784924"/>
    <w:rsid w:val="0078543D"/>
    <w:rsid w:val="007858A1"/>
    <w:rsid w:val="0078590E"/>
    <w:rsid w:val="0078595C"/>
    <w:rsid w:val="00785BEE"/>
    <w:rsid w:val="00785C1A"/>
    <w:rsid w:val="00786459"/>
    <w:rsid w:val="007866E0"/>
    <w:rsid w:val="00786E69"/>
    <w:rsid w:val="0078725B"/>
    <w:rsid w:val="00787CCD"/>
    <w:rsid w:val="00790237"/>
    <w:rsid w:val="0079061D"/>
    <w:rsid w:val="00791256"/>
    <w:rsid w:val="007917EA"/>
    <w:rsid w:val="00791BE5"/>
    <w:rsid w:val="00791EC7"/>
    <w:rsid w:val="007922E3"/>
    <w:rsid w:val="00792ACB"/>
    <w:rsid w:val="00792D87"/>
    <w:rsid w:val="00792F38"/>
    <w:rsid w:val="00792FD6"/>
    <w:rsid w:val="00793500"/>
    <w:rsid w:val="00793B5A"/>
    <w:rsid w:val="00793EA6"/>
    <w:rsid w:val="0079402A"/>
    <w:rsid w:val="0079416D"/>
    <w:rsid w:val="00794423"/>
    <w:rsid w:val="00794740"/>
    <w:rsid w:val="00794967"/>
    <w:rsid w:val="00794AE1"/>
    <w:rsid w:val="007958D2"/>
    <w:rsid w:val="00795EC6"/>
    <w:rsid w:val="00797656"/>
    <w:rsid w:val="007977B2"/>
    <w:rsid w:val="00797C91"/>
    <w:rsid w:val="007A036E"/>
    <w:rsid w:val="007A0932"/>
    <w:rsid w:val="007A0D0F"/>
    <w:rsid w:val="007A1518"/>
    <w:rsid w:val="007A1A28"/>
    <w:rsid w:val="007A2435"/>
    <w:rsid w:val="007A270F"/>
    <w:rsid w:val="007A3A3D"/>
    <w:rsid w:val="007A3BCA"/>
    <w:rsid w:val="007A401C"/>
    <w:rsid w:val="007A420C"/>
    <w:rsid w:val="007A48E4"/>
    <w:rsid w:val="007A4B57"/>
    <w:rsid w:val="007A4C9C"/>
    <w:rsid w:val="007A621C"/>
    <w:rsid w:val="007A67E8"/>
    <w:rsid w:val="007A772E"/>
    <w:rsid w:val="007A7A92"/>
    <w:rsid w:val="007B0766"/>
    <w:rsid w:val="007B0824"/>
    <w:rsid w:val="007B097D"/>
    <w:rsid w:val="007B1533"/>
    <w:rsid w:val="007B1541"/>
    <w:rsid w:val="007B1901"/>
    <w:rsid w:val="007B1EB7"/>
    <w:rsid w:val="007B2A2A"/>
    <w:rsid w:val="007B2B0B"/>
    <w:rsid w:val="007B2BE3"/>
    <w:rsid w:val="007B36CF"/>
    <w:rsid w:val="007B3BE0"/>
    <w:rsid w:val="007B3CC0"/>
    <w:rsid w:val="007B3CD7"/>
    <w:rsid w:val="007B41A5"/>
    <w:rsid w:val="007B4394"/>
    <w:rsid w:val="007B4781"/>
    <w:rsid w:val="007B4AB3"/>
    <w:rsid w:val="007B547E"/>
    <w:rsid w:val="007B6003"/>
    <w:rsid w:val="007B614B"/>
    <w:rsid w:val="007B624A"/>
    <w:rsid w:val="007B65B2"/>
    <w:rsid w:val="007B6C00"/>
    <w:rsid w:val="007B6ED4"/>
    <w:rsid w:val="007B7032"/>
    <w:rsid w:val="007B7AB3"/>
    <w:rsid w:val="007C0007"/>
    <w:rsid w:val="007C0766"/>
    <w:rsid w:val="007C1382"/>
    <w:rsid w:val="007C24F5"/>
    <w:rsid w:val="007C2584"/>
    <w:rsid w:val="007C2C8E"/>
    <w:rsid w:val="007C304D"/>
    <w:rsid w:val="007C309C"/>
    <w:rsid w:val="007C32A5"/>
    <w:rsid w:val="007C3B35"/>
    <w:rsid w:val="007C4600"/>
    <w:rsid w:val="007C493E"/>
    <w:rsid w:val="007C5031"/>
    <w:rsid w:val="007C5ED8"/>
    <w:rsid w:val="007C64AF"/>
    <w:rsid w:val="007C7108"/>
    <w:rsid w:val="007C7B7B"/>
    <w:rsid w:val="007D048E"/>
    <w:rsid w:val="007D0A1E"/>
    <w:rsid w:val="007D0D46"/>
    <w:rsid w:val="007D153E"/>
    <w:rsid w:val="007D15D0"/>
    <w:rsid w:val="007D1CD1"/>
    <w:rsid w:val="007D1D20"/>
    <w:rsid w:val="007D20CA"/>
    <w:rsid w:val="007D313F"/>
    <w:rsid w:val="007D31E2"/>
    <w:rsid w:val="007D3473"/>
    <w:rsid w:val="007D3A13"/>
    <w:rsid w:val="007D3CCC"/>
    <w:rsid w:val="007D409A"/>
    <w:rsid w:val="007D4307"/>
    <w:rsid w:val="007D4448"/>
    <w:rsid w:val="007D499D"/>
    <w:rsid w:val="007D4C59"/>
    <w:rsid w:val="007D4CC9"/>
    <w:rsid w:val="007D5196"/>
    <w:rsid w:val="007D52F3"/>
    <w:rsid w:val="007D5CA1"/>
    <w:rsid w:val="007D5D83"/>
    <w:rsid w:val="007D5FA8"/>
    <w:rsid w:val="007D692A"/>
    <w:rsid w:val="007D6EF2"/>
    <w:rsid w:val="007D76D0"/>
    <w:rsid w:val="007D79F2"/>
    <w:rsid w:val="007D7AFF"/>
    <w:rsid w:val="007D7C8A"/>
    <w:rsid w:val="007D7FD6"/>
    <w:rsid w:val="007E01F3"/>
    <w:rsid w:val="007E04B3"/>
    <w:rsid w:val="007E1444"/>
    <w:rsid w:val="007E1A6A"/>
    <w:rsid w:val="007E2340"/>
    <w:rsid w:val="007E2387"/>
    <w:rsid w:val="007E282E"/>
    <w:rsid w:val="007E2BDE"/>
    <w:rsid w:val="007E2EC1"/>
    <w:rsid w:val="007E4C66"/>
    <w:rsid w:val="007E595C"/>
    <w:rsid w:val="007E5AD0"/>
    <w:rsid w:val="007E73F4"/>
    <w:rsid w:val="007E7737"/>
    <w:rsid w:val="007E7900"/>
    <w:rsid w:val="007F0656"/>
    <w:rsid w:val="007F0820"/>
    <w:rsid w:val="007F0E8B"/>
    <w:rsid w:val="007F114D"/>
    <w:rsid w:val="007F118E"/>
    <w:rsid w:val="007F12B4"/>
    <w:rsid w:val="007F1683"/>
    <w:rsid w:val="007F178A"/>
    <w:rsid w:val="007F25AA"/>
    <w:rsid w:val="007F2A3F"/>
    <w:rsid w:val="007F34AA"/>
    <w:rsid w:val="007F3F6E"/>
    <w:rsid w:val="007F4656"/>
    <w:rsid w:val="007F5036"/>
    <w:rsid w:val="007F50C9"/>
    <w:rsid w:val="007F5F00"/>
    <w:rsid w:val="007F734B"/>
    <w:rsid w:val="007F7E66"/>
    <w:rsid w:val="007F7FC9"/>
    <w:rsid w:val="00800212"/>
    <w:rsid w:val="00800F84"/>
    <w:rsid w:val="00801340"/>
    <w:rsid w:val="00801FFF"/>
    <w:rsid w:val="0080262B"/>
    <w:rsid w:val="00802C74"/>
    <w:rsid w:val="00803A99"/>
    <w:rsid w:val="00803CE2"/>
    <w:rsid w:val="00804382"/>
    <w:rsid w:val="00804961"/>
    <w:rsid w:val="00805DE5"/>
    <w:rsid w:val="00806286"/>
    <w:rsid w:val="00806985"/>
    <w:rsid w:val="00806BC7"/>
    <w:rsid w:val="0080762F"/>
    <w:rsid w:val="00807E05"/>
    <w:rsid w:val="00807EA8"/>
    <w:rsid w:val="00807F3D"/>
    <w:rsid w:val="00810009"/>
    <w:rsid w:val="00810BB0"/>
    <w:rsid w:val="0081127D"/>
    <w:rsid w:val="00811DC4"/>
    <w:rsid w:val="0081221A"/>
    <w:rsid w:val="0081261E"/>
    <w:rsid w:val="00813826"/>
    <w:rsid w:val="008138D6"/>
    <w:rsid w:val="00813A6D"/>
    <w:rsid w:val="00813CCC"/>
    <w:rsid w:val="008142A0"/>
    <w:rsid w:val="008142A6"/>
    <w:rsid w:val="0081468E"/>
    <w:rsid w:val="008147A9"/>
    <w:rsid w:val="00815161"/>
    <w:rsid w:val="008152C1"/>
    <w:rsid w:val="00815A88"/>
    <w:rsid w:val="0081697F"/>
    <w:rsid w:val="0081726D"/>
    <w:rsid w:val="008206B7"/>
    <w:rsid w:val="00820F41"/>
    <w:rsid w:val="00821D57"/>
    <w:rsid w:val="00822E8A"/>
    <w:rsid w:val="0082316C"/>
    <w:rsid w:val="00823241"/>
    <w:rsid w:val="00823302"/>
    <w:rsid w:val="00823421"/>
    <w:rsid w:val="008246BE"/>
    <w:rsid w:val="00824842"/>
    <w:rsid w:val="008249F8"/>
    <w:rsid w:val="00824D17"/>
    <w:rsid w:val="00824FCD"/>
    <w:rsid w:val="008258F8"/>
    <w:rsid w:val="00826727"/>
    <w:rsid w:val="008267EE"/>
    <w:rsid w:val="00827CD8"/>
    <w:rsid w:val="008300CF"/>
    <w:rsid w:val="0083065D"/>
    <w:rsid w:val="0083100B"/>
    <w:rsid w:val="008317F9"/>
    <w:rsid w:val="00831B15"/>
    <w:rsid w:val="0083236D"/>
    <w:rsid w:val="008332BF"/>
    <w:rsid w:val="00833800"/>
    <w:rsid w:val="00833831"/>
    <w:rsid w:val="00833A11"/>
    <w:rsid w:val="00833B6D"/>
    <w:rsid w:val="00834E40"/>
    <w:rsid w:val="00834EE7"/>
    <w:rsid w:val="008364EE"/>
    <w:rsid w:val="0083682F"/>
    <w:rsid w:val="00836C2F"/>
    <w:rsid w:val="008372C2"/>
    <w:rsid w:val="008378FA"/>
    <w:rsid w:val="00840A12"/>
    <w:rsid w:val="00840C97"/>
    <w:rsid w:val="00840D48"/>
    <w:rsid w:val="008410D8"/>
    <w:rsid w:val="008414C1"/>
    <w:rsid w:val="0084157A"/>
    <w:rsid w:val="00841FA8"/>
    <w:rsid w:val="008422B6"/>
    <w:rsid w:val="0084239A"/>
    <w:rsid w:val="00842509"/>
    <w:rsid w:val="00842AFC"/>
    <w:rsid w:val="00842B3A"/>
    <w:rsid w:val="00843069"/>
    <w:rsid w:val="0084310B"/>
    <w:rsid w:val="008435B2"/>
    <w:rsid w:val="00843939"/>
    <w:rsid w:val="00844154"/>
    <w:rsid w:val="0084495E"/>
    <w:rsid w:val="00844D3D"/>
    <w:rsid w:val="00845B85"/>
    <w:rsid w:val="00847D6B"/>
    <w:rsid w:val="0085054F"/>
    <w:rsid w:val="00850771"/>
    <w:rsid w:val="00851974"/>
    <w:rsid w:val="00851AE6"/>
    <w:rsid w:val="00852652"/>
    <w:rsid w:val="00852A39"/>
    <w:rsid w:val="0085366D"/>
    <w:rsid w:val="0085453B"/>
    <w:rsid w:val="00854EC0"/>
    <w:rsid w:val="00855372"/>
    <w:rsid w:val="00855819"/>
    <w:rsid w:val="00855913"/>
    <w:rsid w:val="00856012"/>
    <w:rsid w:val="00856728"/>
    <w:rsid w:val="00856CD4"/>
    <w:rsid w:val="008570A5"/>
    <w:rsid w:val="008571D2"/>
    <w:rsid w:val="008574AD"/>
    <w:rsid w:val="00857988"/>
    <w:rsid w:val="0086194E"/>
    <w:rsid w:val="00861D23"/>
    <w:rsid w:val="008624E5"/>
    <w:rsid w:val="00862791"/>
    <w:rsid w:val="00862A8E"/>
    <w:rsid w:val="008633B8"/>
    <w:rsid w:val="00863F8C"/>
    <w:rsid w:val="00864CC2"/>
    <w:rsid w:val="00865B28"/>
    <w:rsid w:val="008663AA"/>
    <w:rsid w:val="008704F0"/>
    <w:rsid w:val="00871127"/>
    <w:rsid w:val="00871B5A"/>
    <w:rsid w:val="00871DA4"/>
    <w:rsid w:val="00872070"/>
    <w:rsid w:val="00872564"/>
    <w:rsid w:val="00872F58"/>
    <w:rsid w:val="00873734"/>
    <w:rsid w:val="00873D77"/>
    <w:rsid w:val="008746A9"/>
    <w:rsid w:val="00874858"/>
    <w:rsid w:val="00874905"/>
    <w:rsid w:val="00874B45"/>
    <w:rsid w:val="00875091"/>
    <w:rsid w:val="00875B42"/>
    <w:rsid w:val="00875DCC"/>
    <w:rsid w:val="00875E71"/>
    <w:rsid w:val="008808E6"/>
    <w:rsid w:val="0088242E"/>
    <w:rsid w:val="00882873"/>
    <w:rsid w:val="00882951"/>
    <w:rsid w:val="00882C85"/>
    <w:rsid w:val="00882E80"/>
    <w:rsid w:val="00883232"/>
    <w:rsid w:val="008834A3"/>
    <w:rsid w:val="00883ED4"/>
    <w:rsid w:val="008852D3"/>
    <w:rsid w:val="00885333"/>
    <w:rsid w:val="00885669"/>
    <w:rsid w:val="008864AF"/>
    <w:rsid w:val="00886DE7"/>
    <w:rsid w:val="008901F5"/>
    <w:rsid w:val="008903F5"/>
    <w:rsid w:val="00890B2B"/>
    <w:rsid w:val="00890DC9"/>
    <w:rsid w:val="0089180C"/>
    <w:rsid w:val="00893AA0"/>
    <w:rsid w:val="0089423B"/>
    <w:rsid w:val="00895749"/>
    <w:rsid w:val="00895AA1"/>
    <w:rsid w:val="00895B18"/>
    <w:rsid w:val="00897042"/>
    <w:rsid w:val="00897CA4"/>
    <w:rsid w:val="00897D00"/>
    <w:rsid w:val="008A033B"/>
    <w:rsid w:val="008A2F23"/>
    <w:rsid w:val="008A3731"/>
    <w:rsid w:val="008A3AF9"/>
    <w:rsid w:val="008A3C57"/>
    <w:rsid w:val="008A42AC"/>
    <w:rsid w:val="008A4839"/>
    <w:rsid w:val="008A49A9"/>
    <w:rsid w:val="008A5910"/>
    <w:rsid w:val="008A5B92"/>
    <w:rsid w:val="008A5EF7"/>
    <w:rsid w:val="008A6148"/>
    <w:rsid w:val="008A66E3"/>
    <w:rsid w:val="008A6754"/>
    <w:rsid w:val="008A67B0"/>
    <w:rsid w:val="008A78F9"/>
    <w:rsid w:val="008A7E6B"/>
    <w:rsid w:val="008A7FB7"/>
    <w:rsid w:val="008B033F"/>
    <w:rsid w:val="008B07DF"/>
    <w:rsid w:val="008B0E67"/>
    <w:rsid w:val="008B1FC3"/>
    <w:rsid w:val="008B2076"/>
    <w:rsid w:val="008B22B9"/>
    <w:rsid w:val="008B22BE"/>
    <w:rsid w:val="008B276E"/>
    <w:rsid w:val="008B276F"/>
    <w:rsid w:val="008B2B50"/>
    <w:rsid w:val="008B4924"/>
    <w:rsid w:val="008B5DCF"/>
    <w:rsid w:val="008B6021"/>
    <w:rsid w:val="008B6186"/>
    <w:rsid w:val="008B69F9"/>
    <w:rsid w:val="008C0A96"/>
    <w:rsid w:val="008C0E7C"/>
    <w:rsid w:val="008C0EA4"/>
    <w:rsid w:val="008C13BE"/>
    <w:rsid w:val="008C15E6"/>
    <w:rsid w:val="008C1D70"/>
    <w:rsid w:val="008C2100"/>
    <w:rsid w:val="008C2157"/>
    <w:rsid w:val="008C33B3"/>
    <w:rsid w:val="008C3D48"/>
    <w:rsid w:val="008C4ED0"/>
    <w:rsid w:val="008C5252"/>
    <w:rsid w:val="008C5B0F"/>
    <w:rsid w:val="008C6541"/>
    <w:rsid w:val="008C68F4"/>
    <w:rsid w:val="008C6AC2"/>
    <w:rsid w:val="008C6CCF"/>
    <w:rsid w:val="008C6E24"/>
    <w:rsid w:val="008C70CE"/>
    <w:rsid w:val="008C76EF"/>
    <w:rsid w:val="008C7B5A"/>
    <w:rsid w:val="008D0060"/>
    <w:rsid w:val="008D0458"/>
    <w:rsid w:val="008D1227"/>
    <w:rsid w:val="008D135C"/>
    <w:rsid w:val="008D1740"/>
    <w:rsid w:val="008D179F"/>
    <w:rsid w:val="008D1AD1"/>
    <w:rsid w:val="008D2844"/>
    <w:rsid w:val="008D2905"/>
    <w:rsid w:val="008D3FD9"/>
    <w:rsid w:val="008D4018"/>
    <w:rsid w:val="008D4159"/>
    <w:rsid w:val="008D45C0"/>
    <w:rsid w:val="008D49B8"/>
    <w:rsid w:val="008D4DCA"/>
    <w:rsid w:val="008D55E5"/>
    <w:rsid w:val="008D59D3"/>
    <w:rsid w:val="008D5B81"/>
    <w:rsid w:val="008D67ED"/>
    <w:rsid w:val="008D6926"/>
    <w:rsid w:val="008D7473"/>
    <w:rsid w:val="008D778D"/>
    <w:rsid w:val="008E0483"/>
    <w:rsid w:val="008E05F9"/>
    <w:rsid w:val="008E168B"/>
    <w:rsid w:val="008E1BB6"/>
    <w:rsid w:val="008E25C1"/>
    <w:rsid w:val="008E30BE"/>
    <w:rsid w:val="008E34A1"/>
    <w:rsid w:val="008E3AFC"/>
    <w:rsid w:val="008E459E"/>
    <w:rsid w:val="008E4639"/>
    <w:rsid w:val="008E55BE"/>
    <w:rsid w:val="008E5746"/>
    <w:rsid w:val="008E58C1"/>
    <w:rsid w:val="008E5FD7"/>
    <w:rsid w:val="008E78CF"/>
    <w:rsid w:val="008F013E"/>
    <w:rsid w:val="008F02B4"/>
    <w:rsid w:val="008F03BA"/>
    <w:rsid w:val="008F18BC"/>
    <w:rsid w:val="008F1CD2"/>
    <w:rsid w:val="008F2A4D"/>
    <w:rsid w:val="008F2B0C"/>
    <w:rsid w:val="008F30F1"/>
    <w:rsid w:val="008F3A47"/>
    <w:rsid w:val="008F3AC8"/>
    <w:rsid w:val="008F4A04"/>
    <w:rsid w:val="008F5BAE"/>
    <w:rsid w:val="008F7724"/>
    <w:rsid w:val="008F7A74"/>
    <w:rsid w:val="009002B5"/>
    <w:rsid w:val="009007CF"/>
    <w:rsid w:val="0090151A"/>
    <w:rsid w:val="00901967"/>
    <w:rsid w:val="00901AE2"/>
    <w:rsid w:val="00901D24"/>
    <w:rsid w:val="009025A6"/>
    <w:rsid w:val="00902665"/>
    <w:rsid w:val="00902DA5"/>
    <w:rsid w:val="00902DDA"/>
    <w:rsid w:val="0090308A"/>
    <w:rsid w:val="00903C13"/>
    <w:rsid w:val="00903DCA"/>
    <w:rsid w:val="00904CA2"/>
    <w:rsid w:val="0090526A"/>
    <w:rsid w:val="00906501"/>
    <w:rsid w:val="0090660D"/>
    <w:rsid w:val="00906D4E"/>
    <w:rsid w:val="00907B55"/>
    <w:rsid w:val="00907B9A"/>
    <w:rsid w:val="0091115F"/>
    <w:rsid w:val="009112DA"/>
    <w:rsid w:val="0091151A"/>
    <w:rsid w:val="00912B7B"/>
    <w:rsid w:val="00913274"/>
    <w:rsid w:val="00913840"/>
    <w:rsid w:val="00914673"/>
    <w:rsid w:val="0091490A"/>
    <w:rsid w:val="00914928"/>
    <w:rsid w:val="00914AA9"/>
    <w:rsid w:val="00914BD8"/>
    <w:rsid w:val="00914F0C"/>
    <w:rsid w:val="0091588F"/>
    <w:rsid w:val="00915F2D"/>
    <w:rsid w:val="009160AC"/>
    <w:rsid w:val="00916619"/>
    <w:rsid w:val="00916ABF"/>
    <w:rsid w:val="00916EE2"/>
    <w:rsid w:val="0092002E"/>
    <w:rsid w:val="009201E0"/>
    <w:rsid w:val="00920568"/>
    <w:rsid w:val="009209E3"/>
    <w:rsid w:val="00921046"/>
    <w:rsid w:val="009210BB"/>
    <w:rsid w:val="009216BF"/>
    <w:rsid w:val="00921AF2"/>
    <w:rsid w:val="00921F00"/>
    <w:rsid w:val="009220FD"/>
    <w:rsid w:val="0092237A"/>
    <w:rsid w:val="00922661"/>
    <w:rsid w:val="00923038"/>
    <w:rsid w:val="0092310F"/>
    <w:rsid w:val="00923371"/>
    <w:rsid w:val="009236DD"/>
    <w:rsid w:val="00923EFF"/>
    <w:rsid w:val="0092490E"/>
    <w:rsid w:val="00925B99"/>
    <w:rsid w:val="009269B3"/>
    <w:rsid w:val="009269CE"/>
    <w:rsid w:val="009271CC"/>
    <w:rsid w:val="00927322"/>
    <w:rsid w:val="00930084"/>
    <w:rsid w:val="00930D83"/>
    <w:rsid w:val="0093100F"/>
    <w:rsid w:val="00931245"/>
    <w:rsid w:val="009313AB"/>
    <w:rsid w:val="0093278A"/>
    <w:rsid w:val="009331E5"/>
    <w:rsid w:val="00933C95"/>
    <w:rsid w:val="00933F94"/>
    <w:rsid w:val="009341A5"/>
    <w:rsid w:val="009347A7"/>
    <w:rsid w:val="00935533"/>
    <w:rsid w:val="00935D6A"/>
    <w:rsid w:val="009362D1"/>
    <w:rsid w:val="00936639"/>
    <w:rsid w:val="009375F3"/>
    <w:rsid w:val="009377E8"/>
    <w:rsid w:val="00937BBC"/>
    <w:rsid w:val="009409BB"/>
    <w:rsid w:val="009410B5"/>
    <w:rsid w:val="0094124A"/>
    <w:rsid w:val="009420A4"/>
    <w:rsid w:val="00943956"/>
    <w:rsid w:val="009439F1"/>
    <w:rsid w:val="00943BA5"/>
    <w:rsid w:val="00943DF7"/>
    <w:rsid w:val="00943E70"/>
    <w:rsid w:val="009445D8"/>
    <w:rsid w:val="00944605"/>
    <w:rsid w:val="00944792"/>
    <w:rsid w:val="009448AD"/>
    <w:rsid w:val="00944B1E"/>
    <w:rsid w:val="00944F87"/>
    <w:rsid w:val="00951C52"/>
    <w:rsid w:val="00952394"/>
    <w:rsid w:val="00952A62"/>
    <w:rsid w:val="00952D4C"/>
    <w:rsid w:val="00953AC8"/>
    <w:rsid w:val="00954B75"/>
    <w:rsid w:val="00954C8B"/>
    <w:rsid w:val="009559D6"/>
    <w:rsid w:val="00955AD4"/>
    <w:rsid w:val="00955C70"/>
    <w:rsid w:val="00955EA6"/>
    <w:rsid w:val="00955FEF"/>
    <w:rsid w:val="009569EA"/>
    <w:rsid w:val="00956A18"/>
    <w:rsid w:val="00957143"/>
    <w:rsid w:val="00957445"/>
    <w:rsid w:val="00957814"/>
    <w:rsid w:val="00957FD9"/>
    <w:rsid w:val="009601DA"/>
    <w:rsid w:val="00960918"/>
    <w:rsid w:val="00960C1C"/>
    <w:rsid w:val="009616C7"/>
    <w:rsid w:val="0096193C"/>
    <w:rsid w:val="009619D2"/>
    <w:rsid w:val="00961C68"/>
    <w:rsid w:val="00961FFB"/>
    <w:rsid w:val="009623ED"/>
    <w:rsid w:val="00962E3A"/>
    <w:rsid w:val="00963A22"/>
    <w:rsid w:val="00963BE7"/>
    <w:rsid w:val="00963E54"/>
    <w:rsid w:val="00964398"/>
    <w:rsid w:val="00964B77"/>
    <w:rsid w:val="00964C29"/>
    <w:rsid w:val="00964E34"/>
    <w:rsid w:val="0096517E"/>
    <w:rsid w:val="0096649D"/>
    <w:rsid w:val="009669AD"/>
    <w:rsid w:val="00966CDC"/>
    <w:rsid w:val="00967158"/>
    <w:rsid w:val="0096722A"/>
    <w:rsid w:val="009677B4"/>
    <w:rsid w:val="00970066"/>
    <w:rsid w:val="00970153"/>
    <w:rsid w:val="00970780"/>
    <w:rsid w:val="00971116"/>
    <w:rsid w:val="0097133C"/>
    <w:rsid w:val="00971D53"/>
    <w:rsid w:val="00971F1F"/>
    <w:rsid w:val="00972B86"/>
    <w:rsid w:val="009730C8"/>
    <w:rsid w:val="009738B1"/>
    <w:rsid w:val="009740C6"/>
    <w:rsid w:val="00974D3A"/>
    <w:rsid w:val="0097529F"/>
    <w:rsid w:val="009754BA"/>
    <w:rsid w:val="009759BB"/>
    <w:rsid w:val="00975F09"/>
    <w:rsid w:val="00976E05"/>
    <w:rsid w:val="0097712D"/>
    <w:rsid w:val="00977933"/>
    <w:rsid w:val="00980BAB"/>
    <w:rsid w:val="00981B2A"/>
    <w:rsid w:val="00981DDB"/>
    <w:rsid w:val="00982283"/>
    <w:rsid w:val="009822DE"/>
    <w:rsid w:val="009822F3"/>
    <w:rsid w:val="00982397"/>
    <w:rsid w:val="009833E9"/>
    <w:rsid w:val="0098372E"/>
    <w:rsid w:val="0098406A"/>
    <w:rsid w:val="00984A23"/>
    <w:rsid w:val="00984CB1"/>
    <w:rsid w:val="00985634"/>
    <w:rsid w:val="009856B2"/>
    <w:rsid w:val="00985CD3"/>
    <w:rsid w:val="00985EC8"/>
    <w:rsid w:val="00986399"/>
    <w:rsid w:val="00987898"/>
    <w:rsid w:val="009878E0"/>
    <w:rsid w:val="009905F2"/>
    <w:rsid w:val="00990875"/>
    <w:rsid w:val="00990D4C"/>
    <w:rsid w:val="00990EFB"/>
    <w:rsid w:val="0099164B"/>
    <w:rsid w:val="0099191D"/>
    <w:rsid w:val="00991959"/>
    <w:rsid w:val="00991EB8"/>
    <w:rsid w:val="00994783"/>
    <w:rsid w:val="0099494B"/>
    <w:rsid w:val="0099504C"/>
    <w:rsid w:val="009956A9"/>
    <w:rsid w:val="00995AF3"/>
    <w:rsid w:val="00995F5C"/>
    <w:rsid w:val="00996511"/>
    <w:rsid w:val="00996811"/>
    <w:rsid w:val="009978C9"/>
    <w:rsid w:val="00997CBE"/>
    <w:rsid w:val="00997E85"/>
    <w:rsid w:val="009A0123"/>
    <w:rsid w:val="009A0A47"/>
    <w:rsid w:val="009A0B66"/>
    <w:rsid w:val="009A0DA9"/>
    <w:rsid w:val="009A146C"/>
    <w:rsid w:val="009A154D"/>
    <w:rsid w:val="009A185C"/>
    <w:rsid w:val="009A1A8B"/>
    <w:rsid w:val="009A1F55"/>
    <w:rsid w:val="009A304F"/>
    <w:rsid w:val="009A3466"/>
    <w:rsid w:val="009A3E0C"/>
    <w:rsid w:val="009A444E"/>
    <w:rsid w:val="009A461F"/>
    <w:rsid w:val="009A4CB4"/>
    <w:rsid w:val="009A56AB"/>
    <w:rsid w:val="009A68CB"/>
    <w:rsid w:val="009A74B6"/>
    <w:rsid w:val="009A76CE"/>
    <w:rsid w:val="009A7F98"/>
    <w:rsid w:val="009B03DC"/>
    <w:rsid w:val="009B082F"/>
    <w:rsid w:val="009B1B73"/>
    <w:rsid w:val="009B2386"/>
    <w:rsid w:val="009B26F8"/>
    <w:rsid w:val="009B2AA8"/>
    <w:rsid w:val="009B31A1"/>
    <w:rsid w:val="009B34BA"/>
    <w:rsid w:val="009B3A70"/>
    <w:rsid w:val="009B3D82"/>
    <w:rsid w:val="009B3EBA"/>
    <w:rsid w:val="009B3FD2"/>
    <w:rsid w:val="009B487B"/>
    <w:rsid w:val="009B523B"/>
    <w:rsid w:val="009B5471"/>
    <w:rsid w:val="009B58F9"/>
    <w:rsid w:val="009B5E29"/>
    <w:rsid w:val="009B61D9"/>
    <w:rsid w:val="009B6646"/>
    <w:rsid w:val="009B72C0"/>
    <w:rsid w:val="009B737E"/>
    <w:rsid w:val="009B755A"/>
    <w:rsid w:val="009B7CDF"/>
    <w:rsid w:val="009B7D8F"/>
    <w:rsid w:val="009C10A9"/>
    <w:rsid w:val="009C12F3"/>
    <w:rsid w:val="009C131A"/>
    <w:rsid w:val="009C19C0"/>
    <w:rsid w:val="009C1BD1"/>
    <w:rsid w:val="009C2139"/>
    <w:rsid w:val="009C3043"/>
    <w:rsid w:val="009C4945"/>
    <w:rsid w:val="009C4C83"/>
    <w:rsid w:val="009C59FF"/>
    <w:rsid w:val="009C5D05"/>
    <w:rsid w:val="009C63A7"/>
    <w:rsid w:val="009C6FF2"/>
    <w:rsid w:val="009C77D9"/>
    <w:rsid w:val="009C7ED8"/>
    <w:rsid w:val="009D088D"/>
    <w:rsid w:val="009D09D8"/>
    <w:rsid w:val="009D0E03"/>
    <w:rsid w:val="009D15FA"/>
    <w:rsid w:val="009D19BF"/>
    <w:rsid w:val="009D19FB"/>
    <w:rsid w:val="009D1E91"/>
    <w:rsid w:val="009D2806"/>
    <w:rsid w:val="009D2A41"/>
    <w:rsid w:val="009D2ADA"/>
    <w:rsid w:val="009D345A"/>
    <w:rsid w:val="009D3D12"/>
    <w:rsid w:val="009D4016"/>
    <w:rsid w:val="009D49FE"/>
    <w:rsid w:val="009D5F7E"/>
    <w:rsid w:val="009D6F2F"/>
    <w:rsid w:val="009D73C2"/>
    <w:rsid w:val="009D7404"/>
    <w:rsid w:val="009D7911"/>
    <w:rsid w:val="009D7D33"/>
    <w:rsid w:val="009E0053"/>
    <w:rsid w:val="009E06B9"/>
    <w:rsid w:val="009E23F7"/>
    <w:rsid w:val="009E2711"/>
    <w:rsid w:val="009E2DE7"/>
    <w:rsid w:val="009E3250"/>
    <w:rsid w:val="009E4177"/>
    <w:rsid w:val="009E4245"/>
    <w:rsid w:val="009E4908"/>
    <w:rsid w:val="009E4993"/>
    <w:rsid w:val="009E4AE6"/>
    <w:rsid w:val="009E5D2C"/>
    <w:rsid w:val="009E5E83"/>
    <w:rsid w:val="009E69AB"/>
    <w:rsid w:val="009E799E"/>
    <w:rsid w:val="009E7E37"/>
    <w:rsid w:val="009F09A1"/>
    <w:rsid w:val="009F1FF0"/>
    <w:rsid w:val="009F256F"/>
    <w:rsid w:val="009F3075"/>
    <w:rsid w:val="009F337F"/>
    <w:rsid w:val="009F4A5F"/>
    <w:rsid w:val="009F4F71"/>
    <w:rsid w:val="009F56BD"/>
    <w:rsid w:val="009F65B8"/>
    <w:rsid w:val="009F66E4"/>
    <w:rsid w:val="009F761B"/>
    <w:rsid w:val="009F7B34"/>
    <w:rsid w:val="00A00E09"/>
    <w:rsid w:val="00A02210"/>
    <w:rsid w:val="00A0247F"/>
    <w:rsid w:val="00A02630"/>
    <w:rsid w:val="00A02947"/>
    <w:rsid w:val="00A03830"/>
    <w:rsid w:val="00A03964"/>
    <w:rsid w:val="00A048DF"/>
    <w:rsid w:val="00A06982"/>
    <w:rsid w:val="00A06C29"/>
    <w:rsid w:val="00A06C65"/>
    <w:rsid w:val="00A07575"/>
    <w:rsid w:val="00A104A4"/>
    <w:rsid w:val="00A105BB"/>
    <w:rsid w:val="00A10773"/>
    <w:rsid w:val="00A10AFC"/>
    <w:rsid w:val="00A10B4F"/>
    <w:rsid w:val="00A11738"/>
    <w:rsid w:val="00A11B77"/>
    <w:rsid w:val="00A128A8"/>
    <w:rsid w:val="00A12AB2"/>
    <w:rsid w:val="00A12B0C"/>
    <w:rsid w:val="00A13108"/>
    <w:rsid w:val="00A135AE"/>
    <w:rsid w:val="00A1371D"/>
    <w:rsid w:val="00A13802"/>
    <w:rsid w:val="00A139EB"/>
    <w:rsid w:val="00A13E39"/>
    <w:rsid w:val="00A14CA8"/>
    <w:rsid w:val="00A1514E"/>
    <w:rsid w:val="00A158EE"/>
    <w:rsid w:val="00A169F1"/>
    <w:rsid w:val="00A16B5B"/>
    <w:rsid w:val="00A171F1"/>
    <w:rsid w:val="00A17882"/>
    <w:rsid w:val="00A17AE5"/>
    <w:rsid w:val="00A2122A"/>
    <w:rsid w:val="00A213ED"/>
    <w:rsid w:val="00A228FE"/>
    <w:rsid w:val="00A23243"/>
    <w:rsid w:val="00A23967"/>
    <w:rsid w:val="00A23E5A"/>
    <w:rsid w:val="00A23FF9"/>
    <w:rsid w:val="00A24271"/>
    <w:rsid w:val="00A2507E"/>
    <w:rsid w:val="00A25505"/>
    <w:rsid w:val="00A25722"/>
    <w:rsid w:val="00A26153"/>
    <w:rsid w:val="00A26BDD"/>
    <w:rsid w:val="00A27FBE"/>
    <w:rsid w:val="00A3011D"/>
    <w:rsid w:val="00A30456"/>
    <w:rsid w:val="00A304B3"/>
    <w:rsid w:val="00A31239"/>
    <w:rsid w:val="00A31730"/>
    <w:rsid w:val="00A31988"/>
    <w:rsid w:val="00A31BB6"/>
    <w:rsid w:val="00A32358"/>
    <w:rsid w:val="00A32E3A"/>
    <w:rsid w:val="00A3304D"/>
    <w:rsid w:val="00A334D4"/>
    <w:rsid w:val="00A336C2"/>
    <w:rsid w:val="00A33CDF"/>
    <w:rsid w:val="00A33D22"/>
    <w:rsid w:val="00A3439B"/>
    <w:rsid w:val="00A3483C"/>
    <w:rsid w:val="00A34C01"/>
    <w:rsid w:val="00A35AB7"/>
    <w:rsid w:val="00A35CF1"/>
    <w:rsid w:val="00A36069"/>
    <w:rsid w:val="00A36163"/>
    <w:rsid w:val="00A36753"/>
    <w:rsid w:val="00A36A20"/>
    <w:rsid w:val="00A36FE8"/>
    <w:rsid w:val="00A37E5B"/>
    <w:rsid w:val="00A37E86"/>
    <w:rsid w:val="00A401B5"/>
    <w:rsid w:val="00A407F0"/>
    <w:rsid w:val="00A40A02"/>
    <w:rsid w:val="00A40D9D"/>
    <w:rsid w:val="00A421B0"/>
    <w:rsid w:val="00A426E7"/>
    <w:rsid w:val="00A42968"/>
    <w:rsid w:val="00A42AF9"/>
    <w:rsid w:val="00A42D25"/>
    <w:rsid w:val="00A4339B"/>
    <w:rsid w:val="00A43C0B"/>
    <w:rsid w:val="00A43D8B"/>
    <w:rsid w:val="00A44683"/>
    <w:rsid w:val="00A447B4"/>
    <w:rsid w:val="00A44A83"/>
    <w:rsid w:val="00A45488"/>
    <w:rsid w:val="00A457E3"/>
    <w:rsid w:val="00A45C8B"/>
    <w:rsid w:val="00A45DC2"/>
    <w:rsid w:val="00A46C34"/>
    <w:rsid w:val="00A47DAA"/>
    <w:rsid w:val="00A47F8B"/>
    <w:rsid w:val="00A50530"/>
    <w:rsid w:val="00A505AA"/>
    <w:rsid w:val="00A50D5B"/>
    <w:rsid w:val="00A51AB5"/>
    <w:rsid w:val="00A51FCE"/>
    <w:rsid w:val="00A520A5"/>
    <w:rsid w:val="00A52320"/>
    <w:rsid w:val="00A5279B"/>
    <w:rsid w:val="00A53050"/>
    <w:rsid w:val="00A53C9C"/>
    <w:rsid w:val="00A5401A"/>
    <w:rsid w:val="00A546ED"/>
    <w:rsid w:val="00A555EC"/>
    <w:rsid w:val="00A55CA1"/>
    <w:rsid w:val="00A55CB0"/>
    <w:rsid w:val="00A55D8F"/>
    <w:rsid w:val="00A55E59"/>
    <w:rsid w:val="00A56211"/>
    <w:rsid w:val="00A56FC7"/>
    <w:rsid w:val="00A570F7"/>
    <w:rsid w:val="00A5784C"/>
    <w:rsid w:val="00A578F2"/>
    <w:rsid w:val="00A57CD5"/>
    <w:rsid w:val="00A57EF6"/>
    <w:rsid w:val="00A60231"/>
    <w:rsid w:val="00A60419"/>
    <w:rsid w:val="00A60E17"/>
    <w:rsid w:val="00A61074"/>
    <w:rsid w:val="00A615B1"/>
    <w:rsid w:val="00A617F2"/>
    <w:rsid w:val="00A61A80"/>
    <w:rsid w:val="00A61FF4"/>
    <w:rsid w:val="00A62677"/>
    <w:rsid w:val="00A62C30"/>
    <w:rsid w:val="00A633EC"/>
    <w:rsid w:val="00A635C6"/>
    <w:rsid w:val="00A636E2"/>
    <w:rsid w:val="00A64A02"/>
    <w:rsid w:val="00A64A18"/>
    <w:rsid w:val="00A650E0"/>
    <w:rsid w:val="00A6541B"/>
    <w:rsid w:val="00A65C18"/>
    <w:rsid w:val="00A67E5C"/>
    <w:rsid w:val="00A702F7"/>
    <w:rsid w:val="00A7075F"/>
    <w:rsid w:val="00A7093C"/>
    <w:rsid w:val="00A715E0"/>
    <w:rsid w:val="00A72192"/>
    <w:rsid w:val="00A73354"/>
    <w:rsid w:val="00A735D1"/>
    <w:rsid w:val="00A73BB1"/>
    <w:rsid w:val="00A73DA4"/>
    <w:rsid w:val="00A73DF0"/>
    <w:rsid w:val="00A74322"/>
    <w:rsid w:val="00A74472"/>
    <w:rsid w:val="00A74B2E"/>
    <w:rsid w:val="00A75307"/>
    <w:rsid w:val="00A75ED1"/>
    <w:rsid w:val="00A760E9"/>
    <w:rsid w:val="00A767A9"/>
    <w:rsid w:val="00A775C3"/>
    <w:rsid w:val="00A77FB8"/>
    <w:rsid w:val="00A80146"/>
    <w:rsid w:val="00A809FF"/>
    <w:rsid w:val="00A81103"/>
    <w:rsid w:val="00A81891"/>
    <w:rsid w:val="00A81892"/>
    <w:rsid w:val="00A81CE0"/>
    <w:rsid w:val="00A81E06"/>
    <w:rsid w:val="00A82156"/>
    <w:rsid w:val="00A82BB9"/>
    <w:rsid w:val="00A83E40"/>
    <w:rsid w:val="00A83EED"/>
    <w:rsid w:val="00A843DE"/>
    <w:rsid w:val="00A8501B"/>
    <w:rsid w:val="00A85321"/>
    <w:rsid w:val="00A865F1"/>
    <w:rsid w:val="00A872CA"/>
    <w:rsid w:val="00A87C13"/>
    <w:rsid w:val="00A91219"/>
    <w:rsid w:val="00A91648"/>
    <w:rsid w:val="00A9165B"/>
    <w:rsid w:val="00A91F5B"/>
    <w:rsid w:val="00A92024"/>
    <w:rsid w:val="00A92511"/>
    <w:rsid w:val="00A925B2"/>
    <w:rsid w:val="00A92D24"/>
    <w:rsid w:val="00A931F2"/>
    <w:rsid w:val="00A9367A"/>
    <w:rsid w:val="00A93CB0"/>
    <w:rsid w:val="00A93D9F"/>
    <w:rsid w:val="00A94A8A"/>
    <w:rsid w:val="00A95257"/>
    <w:rsid w:val="00A95299"/>
    <w:rsid w:val="00A95598"/>
    <w:rsid w:val="00A95756"/>
    <w:rsid w:val="00A9583B"/>
    <w:rsid w:val="00A95882"/>
    <w:rsid w:val="00A96F74"/>
    <w:rsid w:val="00A97ACA"/>
    <w:rsid w:val="00A97FBF"/>
    <w:rsid w:val="00AA04EE"/>
    <w:rsid w:val="00AA0559"/>
    <w:rsid w:val="00AA0711"/>
    <w:rsid w:val="00AA088D"/>
    <w:rsid w:val="00AA09B7"/>
    <w:rsid w:val="00AA0FC5"/>
    <w:rsid w:val="00AA111E"/>
    <w:rsid w:val="00AA1CB0"/>
    <w:rsid w:val="00AA2308"/>
    <w:rsid w:val="00AA2908"/>
    <w:rsid w:val="00AA2FB7"/>
    <w:rsid w:val="00AA33D7"/>
    <w:rsid w:val="00AA3A2F"/>
    <w:rsid w:val="00AA4012"/>
    <w:rsid w:val="00AA4B1D"/>
    <w:rsid w:val="00AA4B80"/>
    <w:rsid w:val="00AA4C78"/>
    <w:rsid w:val="00AA4F68"/>
    <w:rsid w:val="00AA65F2"/>
    <w:rsid w:val="00AA68C4"/>
    <w:rsid w:val="00AA7676"/>
    <w:rsid w:val="00AB07A3"/>
    <w:rsid w:val="00AB0843"/>
    <w:rsid w:val="00AB1DFB"/>
    <w:rsid w:val="00AB26F2"/>
    <w:rsid w:val="00AB2820"/>
    <w:rsid w:val="00AB3493"/>
    <w:rsid w:val="00AB35A0"/>
    <w:rsid w:val="00AB440F"/>
    <w:rsid w:val="00AB49CE"/>
    <w:rsid w:val="00AB4C5E"/>
    <w:rsid w:val="00AB4DA8"/>
    <w:rsid w:val="00AB521B"/>
    <w:rsid w:val="00AB557A"/>
    <w:rsid w:val="00AB5D50"/>
    <w:rsid w:val="00AB6308"/>
    <w:rsid w:val="00AB6820"/>
    <w:rsid w:val="00AB6CDC"/>
    <w:rsid w:val="00AB7916"/>
    <w:rsid w:val="00AC064E"/>
    <w:rsid w:val="00AC074D"/>
    <w:rsid w:val="00AC0EC9"/>
    <w:rsid w:val="00AC1254"/>
    <w:rsid w:val="00AC131E"/>
    <w:rsid w:val="00AC1501"/>
    <w:rsid w:val="00AC1507"/>
    <w:rsid w:val="00AC290C"/>
    <w:rsid w:val="00AC2A03"/>
    <w:rsid w:val="00AC2A99"/>
    <w:rsid w:val="00AC34EC"/>
    <w:rsid w:val="00AC3851"/>
    <w:rsid w:val="00AC3E63"/>
    <w:rsid w:val="00AC41B2"/>
    <w:rsid w:val="00AC47A1"/>
    <w:rsid w:val="00AC4F39"/>
    <w:rsid w:val="00AC5027"/>
    <w:rsid w:val="00AC58E4"/>
    <w:rsid w:val="00AC5C67"/>
    <w:rsid w:val="00AC70DD"/>
    <w:rsid w:val="00AC719F"/>
    <w:rsid w:val="00AC7291"/>
    <w:rsid w:val="00AC7B25"/>
    <w:rsid w:val="00AD073D"/>
    <w:rsid w:val="00AD0AD3"/>
    <w:rsid w:val="00AD1150"/>
    <w:rsid w:val="00AD2556"/>
    <w:rsid w:val="00AD2727"/>
    <w:rsid w:val="00AD2B57"/>
    <w:rsid w:val="00AD32FE"/>
    <w:rsid w:val="00AD388A"/>
    <w:rsid w:val="00AD40FD"/>
    <w:rsid w:val="00AD4163"/>
    <w:rsid w:val="00AD4697"/>
    <w:rsid w:val="00AD49B6"/>
    <w:rsid w:val="00AD5035"/>
    <w:rsid w:val="00AD6009"/>
    <w:rsid w:val="00AD6651"/>
    <w:rsid w:val="00AD6EC0"/>
    <w:rsid w:val="00AD722B"/>
    <w:rsid w:val="00AD75E6"/>
    <w:rsid w:val="00AD7C52"/>
    <w:rsid w:val="00AE09F6"/>
    <w:rsid w:val="00AE0A78"/>
    <w:rsid w:val="00AE0ADA"/>
    <w:rsid w:val="00AE1428"/>
    <w:rsid w:val="00AE2472"/>
    <w:rsid w:val="00AE2CBD"/>
    <w:rsid w:val="00AE3169"/>
    <w:rsid w:val="00AE4EFD"/>
    <w:rsid w:val="00AE5124"/>
    <w:rsid w:val="00AE51E1"/>
    <w:rsid w:val="00AE5298"/>
    <w:rsid w:val="00AE532C"/>
    <w:rsid w:val="00AE55AC"/>
    <w:rsid w:val="00AE596C"/>
    <w:rsid w:val="00AE59D3"/>
    <w:rsid w:val="00AE5C9B"/>
    <w:rsid w:val="00AE5E1B"/>
    <w:rsid w:val="00AE6A67"/>
    <w:rsid w:val="00AE6B66"/>
    <w:rsid w:val="00AE6C5B"/>
    <w:rsid w:val="00AE6C6C"/>
    <w:rsid w:val="00AE7A59"/>
    <w:rsid w:val="00AF17F5"/>
    <w:rsid w:val="00AF222E"/>
    <w:rsid w:val="00AF305A"/>
    <w:rsid w:val="00AF36F9"/>
    <w:rsid w:val="00AF3D07"/>
    <w:rsid w:val="00AF4769"/>
    <w:rsid w:val="00AF4E6D"/>
    <w:rsid w:val="00AF51E2"/>
    <w:rsid w:val="00AF5F6C"/>
    <w:rsid w:val="00AF64EF"/>
    <w:rsid w:val="00AF67B5"/>
    <w:rsid w:val="00AF6B0F"/>
    <w:rsid w:val="00AF6F42"/>
    <w:rsid w:val="00AF6F75"/>
    <w:rsid w:val="00AF75A5"/>
    <w:rsid w:val="00AF78D7"/>
    <w:rsid w:val="00AF79C3"/>
    <w:rsid w:val="00B0010C"/>
    <w:rsid w:val="00B001EF"/>
    <w:rsid w:val="00B01061"/>
    <w:rsid w:val="00B01202"/>
    <w:rsid w:val="00B0213A"/>
    <w:rsid w:val="00B02344"/>
    <w:rsid w:val="00B02583"/>
    <w:rsid w:val="00B027DA"/>
    <w:rsid w:val="00B033CA"/>
    <w:rsid w:val="00B0396E"/>
    <w:rsid w:val="00B03970"/>
    <w:rsid w:val="00B03AA2"/>
    <w:rsid w:val="00B04448"/>
    <w:rsid w:val="00B045B7"/>
    <w:rsid w:val="00B049D9"/>
    <w:rsid w:val="00B053E9"/>
    <w:rsid w:val="00B05431"/>
    <w:rsid w:val="00B055C5"/>
    <w:rsid w:val="00B05D69"/>
    <w:rsid w:val="00B0615A"/>
    <w:rsid w:val="00B06DFA"/>
    <w:rsid w:val="00B07494"/>
    <w:rsid w:val="00B07A8D"/>
    <w:rsid w:val="00B07DB1"/>
    <w:rsid w:val="00B1056D"/>
    <w:rsid w:val="00B107D2"/>
    <w:rsid w:val="00B109B9"/>
    <w:rsid w:val="00B10D3A"/>
    <w:rsid w:val="00B1149C"/>
    <w:rsid w:val="00B116E2"/>
    <w:rsid w:val="00B11A6D"/>
    <w:rsid w:val="00B120D0"/>
    <w:rsid w:val="00B12DAD"/>
    <w:rsid w:val="00B12F88"/>
    <w:rsid w:val="00B13367"/>
    <w:rsid w:val="00B13665"/>
    <w:rsid w:val="00B1373D"/>
    <w:rsid w:val="00B1424C"/>
    <w:rsid w:val="00B145D0"/>
    <w:rsid w:val="00B14D37"/>
    <w:rsid w:val="00B151F1"/>
    <w:rsid w:val="00B159B6"/>
    <w:rsid w:val="00B16144"/>
    <w:rsid w:val="00B161DC"/>
    <w:rsid w:val="00B173D5"/>
    <w:rsid w:val="00B17423"/>
    <w:rsid w:val="00B17F9E"/>
    <w:rsid w:val="00B202FC"/>
    <w:rsid w:val="00B2032E"/>
    <w:rsid w:val="00B2079A"/>
    <w:rsid w:val="00B207AE"/>
    <w:rsid w:val="00B21892"/>
    <w:rsid w:val="00B21F53"/>
    <w:rsid w:val="00B22E92"/>
    <w:rsid w:val="00B23131"/>
    <w:rsid w:val="00B23649"/>
    <w:rsid w:val="00B23781"/>
    <w:rsid w:val="00B2401D"/>
    <w:rsid w:val="00B24094"/>
    <w:rsid w:val="00B247D7"/>
    <w:rsid w:val="00B24985"/>
    <w:rsid w:val="00B24E85"/>
    <w:rsid w:val="00B26C47"/>
    <w:rsid w:val="00B26D98"/>
    <w:rsid w:val="00B3001C"/>
    <w:rsid w:val="00B30405"/>
    <w:rsid w:val="00B30424"/>
    <w:rsid w:val="00B30B52"/>
    <w:rsid w:val="00B30DAD"/>
    <w:rsid w:val="00B312FD"/>
    <w:rsid w:val="00B318C1"/>
    <w:rsid w:val="00B31D57"/>
    <w:rsid w:val="00B320C3"/>
    <w:rsid w:val="00B331F9"/>
    <w:rsid w:val="00B34737"/>
    <w:rsid w:val="00B347F6"/>
    <w:rsid w:val="00B3695B"/>
    <w:rsid w:val="00B36B83"/>
    <w:rsid w:val="00B36EFF"/>
    <w:rsid w:val="00B3705D"/>
    <w:rsid w:val="00B37CB1"/>
    <w:rsid w:val="00B37E1C"/>
    <w:rsid w:val="00B4048A"/>
    <w:rsid w:val="00B40821"/>
    <w:rsid w:val="00B40ED8"/>
    <w:rsid w:val="00B411FF"/>
    <w:rsid w:val="00B41390"/>
    <w:rsid w:val="00B41501"/>
    <w:rsid w:val="00B4260C"/>
    <w:rsid w:val="00B42D74"/>
    <w:rsid w:val="00B43592"/>
    <w:rsid w:val="00B436A2"/>
    <w:rsid w:val="00B43B41"/>
    <w:rsid w:val="00B444B9"/>
    <w:rsid w:val="00B44D37"/>
    <w:rsid w:val="00B44DEB"/>
    <w:rsid w:val="00B44E1F"/>
    <w:rsid w:val="00B453DE"/>
    <w:rsid w:val="00B45A5A"/>
    <w:rsid w:val="00B45F0B"/>
    <w:rsid w:val="00B47043"/>
    <w:rsid w:val="00B4762A"/>
    <w:rsid w:val="00B47F1A"/>
    <w:rsid w:val="00B5005C"/>
    <w:rsid w:val="00B501EF"/>
    <w:rsid w:val="00B5078F"/>
    <w:rsid w:val="00B50A92"/>
    <w:rsid w:val="00B50C02"/>
    <w:rsid w:val="00B53810"/>
    <w:rsid w:val="00B53A1D"/>
    <w:rsid w:val="00B5405F"/>
    <w:rsid w:val="00B54F15"/>
    <w:rsid w:val="00B55176"/>
    <w:rsid w:val="00B55A73"/>
    <w:rsid w:val="00B5618B"/>
    <w:rsid w:val="00B57344"/>
    <w:rsid w:val="00B574E0"/>
    <w:rsid w:val="00B576F8"/>
    <w:rsid w:val="00B5799A"/>
    <w:rsid w:val="00B57AC3"/>
    <w:rsid w:val="00B57AE8"/>
    <w:rsid w:val="00B57B71"/>
    <w:rsid w:val="00B57D61"/>
    <w:rsid w:val="00B605F7"/>
    <w:rsid w:val="00B60673"/>
    <w:rsid w:val="00B60CA1"/>
    <w:rsid w:val="00B6174B"/>
    <w:rsid w:val="00B61902"/>
    <w:rsid w:val="00B6338D"/>
    <w:rsid w:val="00B635BE"/>
    <w:rsid w:val="00B63E93"/>
    <w:rsid w:val="00B63FFE"/>
    <w:rsid w:val="00B641B4"/>
    <w:rsid w:val="00B64378"/>
    <w:rsid w:val="00B6446A"/>
    <w:rsid w:val="00B644AA"/>
    <w:rsid w:val="00B64785"/>
    <w:rsid w:val="00B6527B"/>
    <w:rsid w:val="00B65804"/>
    <w:rsid w:val="00B65EAD"/>
    <w:rsid w:val="00B66260"/>
    <w:rsid w:val="00B66F88"/>
    <w:rsid w:val="00B673F1"/>
    <w:rsid w:val="00B67AA2"/>
    <w:rsid w:val="00B67C54"/>
    <w:rsid w:val="00B70516"/>
    <w:rsid w:val="00B70CB4"/>
    <w:rsid w:val="00B71C34"/>
    <w:rsid w:val="00B71F22"/>
    <w:rsid w:val="00B7253A"/>
    <w:rsid w:val="00B72543"/>
    <w:rsid w:val="00B725DB"/>
    <w:rsid w:val="00B72BE8"/>
    <w:rsid w:val="00B72E15"/>
    <w:rsid w:val="00B72FBA"/>
    <w:rsid w:val="00B73BEA"/>
    <w:rsid w:val="00B73E36"/>
    <w:rsid w:val="00B748F3"/>
    <w:rsid w:val="00B74BDE"/>
    <w:rsid w:val="00B751D9"/>
    <w:rsid w:val="00B7599D"/>
    <w:rsid w:val="00B75C47"/>
    <w:rsid w:val="00B76009"/>
    <w:rsid w:val="00B76130"/>
    <w:rsid w:val="00B7638A"/>
    <w:rsid w:val="00B7645A"/>
    <w:rsid w:val="00B769D3"/>
    <w:rsid w:val="00B76D9C"/>
    <w:rsid w:val="00B771E6"/>
    <w:rsid w:val="00B77944"/>
    <w:rsid w:val="00B77AA5"/>
    <w:rsid w:val="00B801BC"/>
    <w:rsid w:val="00B803B8"/>
    <w:rsid w:val="00B80A03"/>
    <w:rsid w:val="00B80A7B"/>
    <w:rsid w:val="00B818BD"/>
    <w:rsid w:val="00B819B5"/>
    <w:rsid w:val="00B81A81"/>
    <w:rsid w:val="00B81DD1"/>
    <w:rsid w:val="00B82787"/>
    <w:rsid w:val="00B82A7A"/>
    <w:rsid w:val="00B82B9E"/>
    <w:rsid w:val="00B84154"/>
    <w:rsid w:val="00B843AB"/>
    <w:rsid w:val="00B84727"/>
    <w:rsid w:val="00B8490B"/>
    <w:rsid w:val="00B854B2"/>
    <w:rsid w:val="00B857E5"/>
    <w:rsid w:val="00B86060"/>
    <w:rsid w:val="00B86096"/>
    <w:rsid w:val="00B860A8"/>
    <w:rsid w:val="00B86406"/>
    <w:rsid w:val="00B86645"/>
    <w:rsid w:val="00B871B5"/>
    <w:rsid w:val="00B903B4"/>
    <w:rsid w:val="00B9071C"/>
    <w:rsid w:val="00B91160"/>
    <w:rsid w:val="00B921B9"/>
    <w:rsid w:val="00B92B9E"/>
    <w:rsid w:val="00B937A1"/>
    <w:rsid w:val="00B93CF3"/>
    <w:rsid w:val="00B94AFD"/>
    <w:rsid w:val="00B96662"/>
    <w:rsid w:val="00B96C08"/>
    <w:rsid w:val="00B9726D"/>
    <w:rsid w:val="00B972FA"/>
    <w:rsid w:val="00B97551"/>
    <w:rsid w:val="00BA078B"/>
    <w:rsid w:val="00BA0FCB"/>
    <w:rsid w:val="00BA1300"/>
    <w:rsid w:val="00BA1728"/>
    <w:rsid w:val="00BA19AA"/>
    <w:rsid w:val="00BA1C40"/>
    <w:rsid w:val="00BA1FB6"/>
    <w:rsid w:val="00BA2071"/>
    <w:rsid w:val="00BA2750"/>
    <w:rsid w:val="00BA2B0B"/>
    <w:rsid w:val="00BA2F47"/>
    <w:rsid w:val="00BA31B3"/>
    <w:rsid w:val="00BA33B6"/>
    <w:rsid w:val="00BA41D0"/>
    <w:rsid w:val="00BA42EC"/>
    <w:rsid w:val="00BA4F40"/>
    <w:rsid w:val="00BA63B5"/>
    <w:rsid w:val="00BA6801"/>
    <w:rsid w:val="00BA6DEC"/>
    <w:rsid w:val="00BA78D7"/>
    <w:rsid w:val="00BB0626"/>
    <w:rsid w:val="00BB0921"/>
    <w:rsid w:val="00BB0EA4"/>
    <w:rsid w:val="00BB12DC"/>
    <w:rsid w:val="00BB1DB3"/>
    <w:rsid w:val="00BB2372"/>
    <w:rsid w:val="00BB5344"/>
    <w:rsid w:val="00BB6E57"/>
    <w:rsid w:val="00BB6FC0"/>
    <w:rsid w:val="00BB7124"/>
    <w:rsid w:val="00BB72B8"/>
    <w:rsid w:val="00BB7366"/>
    <w:rsid w:val="00BB7593"/>
    <w:rsid w:val="00BC00EF"/>
    <w:rsid w:val="00BC0114"/>
    <w:rsid w:val="00BC0346"/>
    <w:rsid w:val="00BC065E"/>
    <w:rsid w:val="00BC1536"/>
    <w:rsid w:val="00BC2C5C"/>
    <w:rsid w:val="00BC3048"/>
    <w:rsid w:val="00BC3E4F"/>
    <w:rsid w:val="00BC49A9"/>
    <w:rsid w:val="00BC4C79"/>
    <w:rsid w:val="00BC55E7"/>
    <w:rsid w:val="00BC59D9"/>
    <w:rsid w:val="00BC59FF"/>
    <w:rsid w:val="00BC5AE2"/>
    <w:rsid w:val="00BC5C4C"/>
    <w:rsid w:val="00BC6900"/>
    <w:rsid w:val="00BC70CC"/>
    <w:rsid w:val="00BC7A56"/>
    <w:rsid w:val="00BC7F8A"/>
    <w:rsid w:val="00BD031F"/>
    <w:rsid w:val="00BD057E"/>
    <w:rsid w:val="00BD094A"/>
    <w:rsid w:val="00BD0B12"/>
    <w:rsid w:val="00BD0E42"/>
    <w:rsid w:val="00BD1432"/>
    <w:rsid w:val="00BD1764"/>
    <w:rsid w:val="00BD1BEF"/>
    <w:rsid w:val="00BD1F69"/>
    <w:rsid w:val="00BD2442"/>
    <w:rsid w:val="00BD2560"/>
    <w:rsid w:val="00BD25F1"/>
    <w:rsid w:val="00BD3349"/>
    <w:rsid w:val="00BD3A87"/>
    <w:rsid w:val="00BD3AE4"/>
    <w:rsid w:val="00BD3AF8"/>
    <w:rsid w:val="00BD3ECD"/>
    <w:rsid w:val="00BD5032"/>
    <w:rsid w:val="00BD5AE1"/>
    <w:rsid w:val="00BD5FFA"/>
    <w:rsid w:val="00BD6129"/>
    <w:rsid w:val="00BD63BA"/>
    <w:rsid w:val="00BD69D0"/>
    <w:rsid w:val="00BD6E9C"/>
    <w:rsid w:val="00BD70C8"/>
    <w:rsid w:val="00BD7752"/>
    <w:rsid w:val="00BD7B1F"/>
    <w:rsid w:val="00BE0B4F"/>
    <w:rsid w:val="00BE0ED1"/>
    <w:rsid w:val="00BE108A"/>
    <w:rsid w:val="00BE211D"/>
    <w:rsid w:val="00BE2CFB"/>
    <w:rsid w:val="00BE35AE"/>
    <w:rsid w:val="00BE36DC"/>
    <w:rsid w:val="00BE3A3D"/>
    <w:rsid w:val="00BE3D56"/>
    <w:rsid w:val="00BE4F08"/>
    <w:rsid w:val="00BE59C9"/>
    <w:rsid w:val="00BE5AD8"/>
    <w:rsid w:val="00BE6617"/>
    <w:rsid w:val="00BE6618"/>
    <w:rsid w:val="00BE6B24"/>
    <w:rsid w:val="00BE75D3"/>
    <w:rsid w:val="00BE784D"/>
    <w:rsid w:val="00BE7C31"/>
    <w:rsid w:val="00BE7FCD"/>
    <w:rsid w:val="00BF034F"/>
    <w:rsid w:val="00BF0F6C"/>
    <w:rsid w:val="00BF152E"/>
    <w:rsid w:val="00BF34BE"/>
    <w:rsid w:val="00BF3669"/>
    <w:rsid w:val="00BF36B7"/>
    <w:rsid w:val="00BF4025"/>
    <w:rsid w:val="00BF4461"/>
    <w:rsid w:val="00BF47A4"/>
    <w:rsid w:val="00BF4A54"/>
    <w:rsid w:val="00BF588C"/>
    <w:rsid w:val="00BF63F0"/>
    <w:rsid w:val="00BF7260"/>
    <w:rsid w:val="00BF7CED"/>
    <w:rsid w:val="00C01192"/>
    <w:rsid w:val="00C0195B"/>
    <w:rsid w:val="00C01C50"/>
    <w:rsid w:val="00C024F8"/>
    <w:rsid w:val="00C02A86"/>
    <w:rsid w:val="00C030FC"/>
    <w:rsid w:val="00C03185"/>
    <w:rsid w:val="00C04017"/>
    <w:rsid w:val="00C04314"/>
    <w:rsid w:val="00C050BD"/>
    <w:rsid w:val="00C059D8"/>
    <w:rsid w:val="00C06DAD"/>
    <w:rsid w:val="00C077AB"/>
    <w:rsid w:val="00C104B7"/>
    <w:rsid w:val="00C105A4"/>
    <w:rsid w:val="00C10832"/>
    <w:rsid w:val="00C10B28"/>
    <w:rsid w:val="00C1155A"/>
    <w:rsid w:val="00C11C56"/>
    <w:rsid w:val="00C1211D"/>
    <w:rsid w:val="00C12A09"/>
    <w:rsid w:val="00C13014"/>
    <w:rsid w:val="00C134CA"/>
    <w:rsid w:val="00C13B42"/>
    <w:rsid w:val="00C14374"/>
    <w:rsid w:val="00C145D7"/>
    <w:rsid w:val="00C14FE0"/>
    <w:rsid w:val="00C1514B"/>
    <w:rsid w:val="00C152BE"/>
    <w:rsid w:val="00C15BD4"/>
    <w:rsid w:val="00C15D05"/>
    <w:rsid w:val="00C16743"/>
    <w:rsid w:val="00C1685F"/>
    <w:rsid w:val="00C16D77"/>
    <w:rsid w:val="00C174A9"/>
    <w:rsid w:val="00C20531"/>
    <w:rsid w:val="00C20604"/>
    <w:rsid w:val="00C209AA"/>
    <w:rsid w:val="00C21048"/>
    <w:rsid w:val="00C21937"/>
    <w:rsid w:val="00C21AC9"/>
    <w:rsid w:val="00C22287"/>
    <w:rsid w:val="00C22836"/>
    <w:rsid w:val="00C22B25"/>
    <w:rsid w:val="00C22BB4"/>
    <w:rsid w:val="00C23439"/>
    <w:rsid w:val="00C23447"/>
    <w:rsid w:val="00C23D53"/>
    <w:rsid w:val="00C26344"/>
    <w:rsid w:val="00C26454"/>
    <w:rsid w:val="00C26A40"/>
    <w:rsid w:val="00C274BA"/>
    <w:rsid w:val="00C3020F"/>
    <w:rsid w:val="00C30459"/>
    <w:rsid w:val="00C31FA8"/>
    <w:rsid w:val="00C324B5"/>
    <w:rsid w:val="00C3258A"/>
    <w:rsid w:val="00C3264F"/>
    <w:rsid w:val="00C3280F"/>
    <w:rsid w:val="00C32B08"/>
    <w:rsid w:val="00C32DA2"/>
    <w:rsid w:val="00C33C3F"/>
    <w:rsid w:val="00C33E5A"/>
    <w:rsid w:val="00C35673"/>
    <w:rsid w:val="00C35AF9"/>
    <w:rsid w:val="00C3698B"/>
    <w:rsid w:val="00C40314"/>
    <w:rsid w:val="00C40479"/>
    <w:rsid w:val="00C413E0"/>
    <w:rsid w:val="00C41F98"/>
    <w:rsid w:val="00C42322"/>
    <w:rsid w:val="00C42DB9"/>
    <w:rsid w:val="00C43193"/>
    <w:rsid w:val="00C4375D"/>
    <w:rsid w:val="00C44D85"/>
    <w:rsid w:val="00C44E15"/>
    <w:rsid w:val="00C4514E"/>
    <w:rsid w:val="00C451BF"/>
    <w:rsid w:val="00C46643"/>
    <w:rsid w:val="00C46F22"/>
    <w:rsid w:val="00C47634"/>
    <w:rsid w:val="00C478FB"/>
    <w:rsid w:val="00C47A23"/>
    <w:rsid w:val="00C5018F"/>
    <w:rsid w:val="00C50AC7"/>
    <w:rsid w:val="00C513A1"/>
    <w:rsid w:val="00C515A4"/>
    <w:rsid w:val="00C51FBD"/>
    <w:rsid w:val="00C52A79"/>
    <w:rsid w:val="00C5397F"/>
    <w:rsid w:val="00C53C7E"/>
    <w:rsid w:val="00C53EC9"/>
    <w:rsid w:val="00C53F57"/>
    <w:rsid w:val="00C5401D"/>
    <w:rsid w:val="00C5460B"/>
    <w:rsid w:val="00C54C59"/>
    <w:rsid w:val="00C557EE"/>
    <w:rsid w:val="00C56681"/>
    <w:rsid w:val="00C56795"/>
    <w:rsid w:val="00C56E72"/>
    <w:rsid w:val="00C572A7"/>
    <w:rsid w:val="00C57A59"/>
    <w:rsid w:val="00C57C31"/>
    <w:rsid w:val="00C57E0F"/>
    <w:rsid w:val="00C57F74"/>
    <w:rsid w:val="00C6032F"/>
    <w:rsid w:val="00C603FC"/>
    <w:rsid w:val="00C612AB"/>
    <w:rsid w:val="00C6151B"/>
    <w:rsid w:val="00C61803"/>
    <w:rsid w:val="00C61CB0"/>
    <w:rsid w:val="00C62B4B"/>
    <w:rsid w:val="00C62E9B"/>
    <w:rsid w:val="00C632F0"/>
    <w:rsid w:val="00C63468"/>
    <w:rsid w:val="00C64541"/>
    <w:rsid w:val="00C65A56"/>
    <w:rsid w:val="00C65CAA"/>
    <w:rsid w:val="00C65DC6"/>
    <w:rsid w:val="00C67136"/>
    <w:rsid w:val="00C67872"/>
    <w:rsid w:val="00C67A68"/>
    <w:rsid w:val="00C707A6"/>
    <w:rsid w:val="00C70EF4"/>
    <w:rsid w:val="00C713C7"/>
    <w:rsid w:val="00C71517"/>
    <w:rsid w:val="00C718B4"/>
    <w:rsid w:val="00C725B3"/>
    <w:rsid w:val="00C73B70"/>
    <w:rsid w:val="00C74BA5"/>
    <w:rsid w:val="00C74EB3"/>
    <w:rsid w:val="00C75595"/>
    <w:rsid w:val="00C75B95"/>
    <w:rsid w:val="00C76755"/>
    <w:rsid w:val="00C76D10"/>
    <w:rsid w:val="00C76E97"/>
    <w:rsid w:val="00C7708B"/>
    <w:rsid w:val="00C775F2"/>
    <w:rsid w:val="00C77C95"/>
    <w:rsid w:val="00C77E22"/>
    <w:rsid w:val="00C77F12"/>
    <w:rsid w:val="00C80227"/>
    <w:rsid w:val="00C805E3"/>
    <w:rsid w:val="00C80A28"/>
    <w:rsid w:val="00C810E5"/>
    <w:rsid w:val="00C81557"/>
    <w:rsid w:val="00C821FC"/>
    <w:rsid w:val="00C82A58"/>
    <w:rsid w:val="00C82A5F"/>
    <w:rsid w:val="00C83650"/>
    <w:rsid w:val="00C84F44"/>
    <w:rsid w:val="00C85520"/>
    <w:rsid w:val="00C85B7F"/>
    <w:rsid w:val="00C85BCD"/>
    <w:rsid w:val="00C86BB0"/>
    <w:rsid w:val="00C86F67"/>
    <w:rsid w:val="00C86FBA"/>
    <w:rsid w:val="00C87961"/>
    <w:rsid w:val="00C87A7D"/>
    <w:rsid w:val="00C900E3"/>
    <w:rsid w:val="00C91021"/>
    <w:rsid w:val="00C91227"/>
    <w:rsid w:val="00C91403"/>
    <w:rsid w:val="00C915A3"/>
    <w:rsid w:val="00C919DA"/>
    <w:rsid w:val="00C91A40"/>
    <w:rsid w:val="00C92078"/>
    <w:rsid w:val="00C922A3"/>
    <w:rsid w:val="00C924CC"/>
    <w:rsid w:val="00C924E2"/>
    <w:rsid w:val="00C92A66"/>
    <w:rsid w:val="00C92B3A"/>
    <w:rsid w:val="00C92F5F"/>
    <w:rsid w:val="00C93999"/>
    <w:rsid w:val="00C94604"/>
    <w:rsid w:val="00C9598E"/>
    <w:rsid w:val="00C965FB"/>
    <w:rsid w:val="00C96677"/>
    <w:rsid w:val="00C9735B"/>
    <w:rsid w:val="00C9752D"/>
    <w:rsid w:val="00C97D91"/>
    <w:rsid w:val="00CA00F5"/>
    <w:rsid w:val="00CA07BF"/>
    <w:rsid w:val="00CA08C9"/>
    <w:rsid w:val="00CA0F9F"/>
    <w:rsid w:val="00CA1104"/>
    <w:rsid w:val="00CA16BE"/>
    <w:rsid w:val="00CA17F9"/>
    <w:rsid w:val="00CA1CC8"/>
    <w:rsid w:val="00CA2512"/>
    <w:rsid w:val="00CA31EF"/>
    <w:rsid w:val="00CA366B"/>
    <w:rsid w:val="00CA3857"/>
    <w:rsid w:val="00CA4005"/>
    <w:rsid w:val="00CA41EC"/>
    <w:rsid w:val="00CA4268"/>
    <w:rsid w:val="00CA48C6"/>
    <w:rsid w:val="00CA48DD"/>
    <w:rsid w:val="00CA4FA8"/>
    <w:rsid w:val="00CA52ED"/>
    <w:rsid w:val="00CA5309"/>
    <w:rsid w:val="00CA5535"/>
    <w:rsid w:val="00CA571D"/>
    <w:rsid w:val="00CA5ADB"/>
    <w:rsid w:val="00CA62C5"/>
    <w:rsid w:val="00CA6331"/>
    <w:rsid w:val="00CA646A"/>
    <w:rsid w:val="00CA7E12"/>
    <w:rsid w:val="00CA7FA7"/>
    <w:rsid w:val="00CB0609"/>
    <w:rsid w:val="00CB0FFC"/>
    <w:rsid w:val="00CB1ADA"/>
    <w:rsid w:val="00CB1B9F"/>
    <w:rsid w:val="00CB1CCD"/>
    <w:rsid w:val="00CB1F22"/>
    <w:rsid w:val="00CB20C2"/>
    <w:rsid w:val="00CB25D1"/>
    <w:rsid w:val="00CB2C6B"/>
    <w:rsid w:val="00CB2DF5"/>
    <w:rsid w:val="00CB2F55"/>
    <w:rsid w:val="00CB3B2F"/>
    <w:rsid w:val="00CB4004"/>
    <w:rsid w:val="00CB40D8"/>
    <w:rsid w:val="00CB4F93"/>
    <w:rsid w:val="00CB5340"/>
    <w:rsid w:val="00CB58DB"/>
    <w:rsid w:val="00CB5A74"/>
    <w:rsid w:val="00CB61B4"/>
    <w:rsid w:val="00CB6648"/>
    <w:rsid w:val="00CB67AB"/>
    <w:rsid w:val="00CB6817"/>
    <w:rsid w:val="00CB7087"/>
    <w:rsid w:val="00CB7126"/>
    <w:rsid w:val="00CB76FA"/>
    <w:rsid w:val="00CC06C5"/>
    <w:rsid w:val="00CC0C1A"/>
    <w:rsid w:val="00CC1323"/>
    <w:rsid w:val="00CC1A1F"/>
    <w:rsid w:val="00CC1A93"/>
    <w:rsid w:val="00CC1FF6"/>
    <w:rsid w:val="00CC27D5"/>
    <w:rsid w:val="00CC3356"/>
    <w:rsid w:val="00CC3934"/>
    <w:rsid w:val="00CC3D54"/>
    <w:rsid w:val="00CC3FEF"/>
    <w:rsid w:val="00CC408D"/>
    <w:rsid w:val="00CC41F5"/>
    <w:rsid w:val="00CC4201"/>
    <w:rsid w:val="00CC508F"/>
    <w:rsid w:val="00CC5A1A"/>
    <w:rsid w:val="00CC5DE4"/>
    <w:rsid w:val="00CC6299"/>
    <w:rsid w:val="00CC6333"/>
    <w:rsid w:val="00CD018E"/>
    <w:rsid w:val="00CD077A"/>
    <w:rsid w:val="00CD0913"/>
    <w:rsid w:val="00CD0948"/>
    <w:rsid w:val="00CD0A31"/>
    <w:rsid w:val="00CD1B41"/>
    <w:rsid w:val="00CD1C21"/>
    <w:rsid w:val="00CD2CEB"/>
    <w:rsid w:val="00CD4AF7"/>
    <w:rsid w:val="00CD4DD5"/>
    <w:rsid w:val="00CD4F9D"/>
    <w:rsid w:val="00CD5208"/>
    <w:rsid w:val="00CD5DF3"/>
    <w:rsid w:val="00CD6716"/>
    <w:rsid w:val="00CD70B6"/>
    <w:rsid w:val="00CD7214"/>
    <w:rsid w:val="00CD77D2"/>
    <w:rsid w:val="00CD7816"/>
    <w:rsid w:val="00CD7E5A"/>
    <w:rsid w:val="00CE006A"/>
    <w:rsid w:val="00CE09E0"/>
    <w:rsid w:val="00CE1D6A"/>
    <w:rsid w:val="00CE1DCB"/>
    <w:rsid w:val="00CE1E43"/>
    <w:rsid w:val="00CE2691"/>
    <w:rsid w:val="00CE30DF"/>
    <w:rsid w:val="00CE3BEE"/>
    <w:rsid w:val="00CE3C23"/>
    <w:rsid w:val="00CE4BDA"/>
    <w:rsid w:val="00CE51DC"/>
    <w:rsid w:val="00CE563A"/>
    <w:rsid w:val="00CE5CEC"/>
    <w:rsid w:val="00CE6B1B"/>
    <w:rsid w:val="00CE6DE5"/>
    <w:rsid w:val="00CE758C"/>
    <w:rsid w:val="00CE75AD"/>
    <w:rsid w:val="00CE7BA0"/>
    <w:rsid w:val="00CF0274"/>
    <w:rsid w:val="00CF1C35"/>
    <w:rsid w:val="00CF1D81"/>
    <w:rsid w:val="00CF1FF0"/>
    <w:rsid w:val="00CF2105"/>
    <w:rsid w:val="00CF26FF"/>
    <w:rsid w:val="00CF3BFA"/>
    <w:rsid w:val="00CF3F39"/>
    <w:rsid w:val="00CF4378"/>
    <w:rsid w:val="00CF44C1"/>
    <w:rsid w:val="00CF5115"/>
    <w:rsid w:val="00CF52FC"/>
    <w:rsid w:val="00CF542C"/>
    <w:rsid w:val="00CF5755"/>
    <w:rsid w:val="00CF58D9"/>
    <w:rsid w:val="00CF6359"/>
    <w:rsid w:val="00CF65CB"/>
    <w:rsid w:val="00CF7757"/>
    <w:rsid w:val="00CF78D1"/>
    <w:rsid w:val="00D00078"/>
    <w:rsid w:val="00D00765"/>
    <w:rsid w:val="00D00996"/>
    <w:rsid w:val="00D00DA6"/>
    <w:rsid w:val="00D017D1"/>
    <w:rsid w:val="00D02F17"/>
    <w:rsid w:val="00D032C3"/>
    <w:rsid w:val="00D03589"/>
    <w:rsid w:val="00D042C8"/>
    <w:rsid w:val="00D045D1"/>
    <w:rsid w:val="00D068D0"/>
    <w:rsid w:val="00D06A41"/>
    <w:rsid w:val="00D06B43"/>
    <w:rsid w:val="00D07D27"/>
    <w:rsid w:val="00D07FD4"/>
    <w:rsid w:val="00D111E3"/>
    <w:rsid w:val="00D1127E"/>
    <w:rsid w:val="00D12055"/>
    <w:rsid w:val="00D12477"/>
    <w:rsid w:val="00D12542"/>
    <w:rsid w:val="00D12F62"/>
    <w:rsid w:val="00D136AF"/>
    <w:rsid w:val="00D13A1B"/>
    <w:rsid w:val="00D13C7D"/>
    <w:rsid w:val="00D142CF"/>
    <w:rsid w:val="00D14649"/>
    <w:rsid w:val="00D14704"/>
    <w:rsid w:val="00D147E6"/>
    <w:rsid w:val="00D16D5C"/>
    <w:rsid w:val="00D171C5"/>
    <w:rsid w:val="00D175A5"/>
    <w:rsid w:val="00D17655"/>
    <w:rsid w:val="00D17886"/>
    <w:rsid w:val="00D17AD2"/>
    <w:rsid w:val="00D17CDC"/>
    <w:rsid w:val="00D17E56"/>
    <w:rsid w:val="00D2030E"/>
    <w:rsid w:val="00D207B4"/>
    <w:rsid w:val="00D209E3"/>
    <w:rsid w:val="00D20ABD"/>
    <w:rsid w:val="00D20F5E"/>
    <w:rsid w:val="00D2118C"/>
    <w:rsid w:val="00D215F3"/>
    <w:rsid w:val="00D218D7"/>
    <w:rsid w:val="00D224A7"/>
    <w:rsid w:val="00D2260C"/>
    <w:rsid w:val="00D232D6"/>
    <w:rsid w:val="00D23976"/>
    <w:rsid w:val="00D23B4E"/>
    <w:rsid w:val="00D24AEC"/>
    <w:rsid w:val="00D24F62"/>
    <w:rsid w:val="00D252D0"/>
    <w:rsid w:val="00D254C9"/>
    <w:rsid w:val="00D2611B"/>
    <w:rsid w:val="00D26917"/>
    <w:rsid w:val="00D26A66"/>
    <w:rsid w:val="00D2725D"/>
    <w:rsid w:val="00D2729B"/>
    <w:rsid w:val="00D278D7"/>
    <w:rsid w:val="00D30245"/>
    <w:rsid w:val="00D30B88"/>
    <w:rsid w:val="00D312CB"/>
    <w:rsid w:val="00D31372"/>
    <w:rsid w:val="00D319F8"/>
    <w:rsid w:val="00D3310A"/>
    <w:rsid w:val="00D344B9"/>
    <w:rsid w:val="00D34592"/>
    <w:rsid w:val="00D34874"/>
    <w:rsid w:val="00D34AD9"/>
    <w:rsid w:val="00D360EB"/>
    <w:rsid w:val="00D3611A"/>
    <w:rsid w:val="00D36346"/>
    <w:rsid w:val="00D36821"/>
    <w:rsid w:val="00D36AC3"/>
    <w:rsid w:val="00D36D27"/>
    <w:rsid w:val="00D3703A"/>
    <w:rsid w:val="00D3727E"/>
    <w:rsid w:val="00D37D06"/>
    <w:rsid w:val="00D37D56"/>
    <w:rsid w:val="00D37FC4"/>
    <w:rsid w:val="00D40206"/>
    <w:rsid w:val="00D4055E"/>
    <w:rsid w:val="00D409DF"/>
    <w:rsid w:val="00D40D04"/>
    <w:rsid w:val="00D42464"/>
    <w:rsid w:val="00D43310"/>
    <w:rsid w:val="00D4361C"/>
    <w:rsid w:val="00D4467D"/>
    <w:rsid w:val="00D4468F"/>
    <w:rsid w:val="00D446CF"/>
    <w:rsid w:val="00D4525D"/>
    <w:rsid w:val="00D45D1F"/>
    <w:rsid w:val="00D46206"/>
    <w:rsid w:val="00D4673B"/>
    <w:rsid w:val="00D46BC6"/>
    <w:rsid w:val="00D46C85"/>
    <w:rsid w:val="00D475F7"/>
    <w:rsid w:val="00D47E92"/>
    <w:rsid w:val="00D50114"/>
    <w:rsid w:val="00D50737"/>
    <w:rsid w:val="00D508C0"/>
    <w:rsid w:val="00D50960"/>
    <w:rsid w:val="00D51CC3"/>
    <w:rsid w:val="00D52EF8"/>
    <w:rsid w:val="00D533D3"/>
    <w:rsid w:val="00D54681"/>
    <w:rsid w:val="00D54D2E"/>
    <w:rsid w:val="00D5561C"/>
    <w:rsid w:val="00D556FE"/>
    <w:rsid w:val="00D55BB3"/>
    <w:rsid w:val="00D56687"/>
    <w:rsid w:val="00D57412"/>
    <w:rsid w:val="00D57603"/>
    <w:rsid w:val="00D579F3"/>
    <w:rsid w:val="00D57E45"/>
    <w:rsid w:val="00D57EF7"/>
    <w:rsid w:val="00D60875"/>
    <w:rsid w:val="00D60BDA"/>
    <w:rsid w:val="00D61E49"/>
    <w:rsid w:val="00D624B4"/>
    <w:rsid w:val="00D626B9"/>
    <w:rsid w:val="00D62862"/>
    <w:rsid w:val="00D6318C"/>
    <w:rsid w:val="00D63705"/>
    <w:rsid w:val="00D63772"/>
    <w:rsid w:val="00D64358"/>
    <w:rsid w:val="00D649A1"/>
    <w:rsid w:val="00D64B58"/>
    <w:rsid w:val="00D652DA"/>
    <w:rsid w:val="00D66335"/>
    <w:rsid w:val="00D66E37"/>
    <w:rsid w:val="00D672B7"/>
    <w:rsid w:val="00D6754C"/>
    <w:rsid w:val="00D67576"/>
    <w:rsid w:val="00D706DC"/>
    <w:rsid w:val="00D70E7F"/>
    <w:rsid w:val="00D71349"/>
    <w:rsid w:val="00D715CD"/>
    <w:rsid w:val="00D72695"/>
    <w:rsid w:val="00D72A59"/>
    <w:rsid w:val="00D72F72"/>
    <w:rsid w:val="00D73458"/>
    <w:rsid w:val="00D73729"/>
    <w:rsid w:val="00D73C0B"/>
    <w:rsid w:val="00D73C5D"/>
    <w:rsid w:val="00D75689"/>
    <w:rsid w:val="00D7568D"/>
    <w:rsid w:val="00D763DB"/>
    <w:rsid w:val="00D765ED"/>
    <w:rsid w:val="00D76842"/>
    <w:rsid w:val="00D77446"/>
    <w:rsid w:val="00D778AF"/>
    <w:rsid w:val="00D77C82"/>
    <w:rsid w:val="00D80C3E"/>
    <w:rsid w:val="00D80FC7"/>
    <w:rsid w:val="00D81084"/>
    <w:rsid w:val="00D811E6"/>
    <w:rsid w:val="00D8125B"/>
    <w:rsid w:val="00D815CB"/>
    <w:rsid w:val="00D81723"/>
    <w:rsid w:val="00D81E8B"/>
    <w:rsid w:val="00D81FCE"/>
    <w:rsid w:val="00D83324"/>
    <w:rsid w:val="00D8393A"/>
    <w:rsid w:val="00D83C51"/>
    <w:rsid w:val="00D83CAA"/>
    <w:rsid w:val="00D841F4"/>
    <w:rsid w:val="00D84F80"/>
    <w:rsid w:val="00D85162"/>
    <w:rsid w:val="00D8625C"/>
    <w:rsid w:val="00D86FA0"/>
    <w:rsid w:val="00D87124"/>
    <w:rsid w:val="00D872F0"/>
    <w:rsid w:val="00D87B21"/>
    <w:rsid w:val="00D87C4B"/>
    <w:rsid w:val="00D903AC"/>
    <w:rsid w:val="00D9070D"/>
    <w:rsid w:val="00D909E6"/>
    <w:rsid w:val="00D90DD3"/>
    <w:rsid w:val="00D90E53"/>
    <w:rsid w:val="00D90FB8"/>
    <w:rsid w:val="00D91362"/>
    <w:rsid w:val="00D919F3"/>
    <w:rsid w:val="00D91E45"/>
    <w:rsid w:val="00D9277F"/>
    <w:rsid w:val="00D927D5"/>
    <w:rsid w:val="00D928AD"/>
    <w:rsid w:val="00D933F5"/>
    <w:rsid w:val="00D94BB4"/>
    <w:rsid w:val="00D94BF9"/>
    <w:rsid w:val="00D94C04"/>
    <w:rsid w:val="00D94DED"/>
    <w:rsid w:val="00D94EA6"/>
    <w:rsid w:val="00D95471"/>
    <w:rsid w:val="00D9568A"/>
    <w:rsid w:val="00D9656A"/>
    <w:rsid w:val="00D9683C"/>
    <w:rsid w:val="00D96F86"/>
    <w:rsid w:val="00D97799"/>
    <w:rsid w:val="00DA0781"/>
    <w:rsid w:val="00DA1036"/>
    <w:rsid w:val="00DA10B1"/>
    <w:rsid w:val="00DA1226"/>
    <w:rsid w:val="00DA138B"/>
    <w:rsid w:val="00DA1D65"/>
    <w:rsid w:val="00DA1E21"/>
    <w:rsid w:val="00DA24B9"/>
    <w:rsid w:val="00DA319E"/>
    <w:rsid w:val="00DA3426"/>
    <w:rsid w:val="00DA3C33"/>
    <w:rsid w:val="00DA47AF"/>
    <w:rsid w:val="00DA6711"/>
    <w:rsid w:val="00DA68F1"/>
    <w:rsid w:val="00DA6ADB"/>
    <w:rsid w:val="00DA6B58"/>
    <w:rsid w:val="00DA6C27"/>
    <w:rsid w:val="00DA7676"/>
    <w:rsid w:val="00DA7E6B"/>
    <w:rsid w:val="00DB017E"/>
    <w:rsid w:val="00DB0A00"/>
    <w:rsid w:val="00DB0C56"/>
    <w:rsid w:val="00DB1671"/>
    <w:rsid w:val="00DB1C5F"/>
    <w:rsid w:val="00DB2054"/>
    <w:rsid w:val="00DB20BE"/>
    <w:rsid w:val="00DB268A"/>
    <w:rsid w:val="00DB2F8D"/>
    <w:rsid w:val="00DB320A"/>
    <w:rsid w:val="00DB3397"/>
    <w:rsid w:val="00DB3538"/>
    <w:rsid w:val="00DB3F94"/>
    <w:rsid w:val="00DB4BF1"/>
    <w:rsid w:val="00DB56A5"/>
    <w:rsid w:val="00DB5B07"/>
    <w:rsid w:val="00DB62F1"/>
    <w:rsid w:val="00DB630F"/>
    <w:rsid w:val="00DB6407"/>
    <w:rsid w:val="00DB6A39"/>
    <w:rsid w:val="00DB7F76"/>
    <w:rsid w:val="00DC0F65"/>
    <w:rsid w:val="00DC11ED"/>
    <w:rsid w:val="00DC285A"/>
    <w:rsid w:val="00DC2BB7"/>
    <w:rsid w:val="00DC2F7C"/>
    <w:rsid w:val="00DC3202"/>
    <w:rsid w:val="00DC3A39"/>
    <w:rsid w:val="00DC3BB6"/>
    <w:rsid w:val="00DC3ECD"/>
    <w:rsid w:val="00DC44B1"/>
    <w:rsid w:val="00DC4F5B"/>
    <w:rsid w:val="00DC53B8"/>
    <w:rsid w:val="00DC565C"/>
    <w:rsid w:val="00DC5E26"/>
    <w:rsid w:val="00DC605A"/>
    <w:rsid w:val="00DC623D"/>
    <w:rsid w:val="00DC6941"/>
    <w:rsid w:val="00DC7242"/>
    <w:rsid w:val="00DC775A"/>
    <w:rsid w:val="00DC787E"/>
    <w:rsid w:val="00DC7AB8"/>
    <w:rsid w:val="00DC7AE9"/>
    <w:rsid w:val="00DD04C9"/>
    <w:rsid w:val="00DD0FDA"/>
    <w:rsid w:val="00DD1EA0"/>
    <w:rsid w:val="00DD1F7F"/>
    <w:rsid w:val="00DD2AA5"/>
    <w:rsid w:val="00DD2ED9"/>
    <w:rsid w:val="00DD397B"/>
    <w:rsid w:val="00DD4321"/>
    <w:rsid w:val="00DD4487"/>
    <w:rsid w:val="00DD46C1"/>
    <w:rsid w:val="00DD4AEF"/>
    <w:rsid w:val="00DD5D4F"/>
    <w:rsid w:val="00DD6159"/>
    <w:rsid w:val="00DD6445"/>
    <w:rsid w:val="00DD6664"/>
    <w:rsid w:val="00DD689C"/>
    <w:rsid w:val="00DD6DCC"/>
    <w:rsid w:val="00DD6FFA"/>
    <w:rsid w:val="00DD7161"/>
    <w:rsid w:val="00DD7613"/>
    <w:rsid w:val="00DD7C3B"/>
    <w:rsid w:val="00DE0B9D"/>
    <w:rsid w:val="00DE1726"/>
    <w:rsid w:val="00DE1FBE"/>
    <w:rsid w:val="00DE2085"/>
    <w:rsid w:val="00DE2FE0"/>
    <w:rsid w:val="00DE3589"/>
    <w:rsid w:val="00DE39D0"/>
    <w:rsid w:val="00DE3D68"/>
    <w:rsid w:val="00DE4298"/>
    <w:rsid w:val="00DE50C7"/>
    <w:rsid w:val="00DE575E"/>
    <w:rsid w:val="00DE5879"/>
    <w:rsid w:val="00DE5E6D"/>
    <w:rsid w:val="00DE6148"/>
    <w:rsid w:val="00DE66E4"/>
    <w:rsid w:val="00DE6E1A"/>
    <w:rsid w:val="00DE6FBA"/>
    <w:rsid w:val="00DE7683"/>
    <w:rsid w:val="00DF0090"/>
    <w:rsid w:val="00DF0425"/>
    <w:rsid w:val="00DF12F4"/>
    <w:rsid w:val="00DF179B"/>
    <w:rsid w:val="00DF1C75"/>
    <w:rsid w:val="00DF1FD3"/>
    <w:rsid w:val="00DF233A"/>
    <w:rsid w:val="00DF27C9"/>
    <w:rsid w:val="00DF2AB1"/>
    <w:rsid w:val="00DF2D29"/>
    <w:rsid w:val="00DF2DAC"/>
    <w:rsid w:val="00DF3536"/>
    <w:rsid w:val="00DF3E86"/>
    <w:rsid w:val="00DF57D3"/>
    <w:rsid w:val="00DF60DA"/>
    <w:rsid w:val="00DF6640"/>
    <w:rsid w:val="00DF6958"/>
    <w:rsid w:val="00DF7142"/>
    <w:rsid w:val="00DF7255"/>
    <w:rsid w:val="00E000B1"/>
    <w:rsid w:val="00E000E7"/>
    <w:rsid w:val="00E0037D"/>
    <w:rsid w:val="00E003CC"/>
    <w:rsid w:val="00E00782"/>
    <w:rsid w:val="00E0168A"/>
    <w:rsid w:val="00E025F9"/>
    <w:rsid w:val="00E030E4"/>
    <w:rsid w:val="00E03102"/>
    <w:rsid w:val="00E031AA"/>
    <w:rsid w:val="00E03458"/>
    <w:rsid w:val="00E03A06"/>
    <w:rsid w:val="00E040C6"/>
    <w:rsid w:val="00E04120"/>
    <w:rsid w:val="00E0484E"/>
    <w:rsid w:val="00E0488C"/>
    <w:rsid w:val="00E04A2D"/>
    <w:rsid w:val="00E054DF"/>
    <w:rsid w:val="00E05A2D"/>
    <w:rsid w:val="00E05D1F"/>
    <w:rsid w:val="00E0617F"/>
    <w:rsid w:val="00E06BF5"/>
    <w:rsid w:val="00E070D3"/>
    <w:rsid w:val="00E07786"/>
    <w:rsid w:val="00E07844"/>
    <w:rsid w:val="00E07948"/>
    <w:rsid w:val="00E07C42"/>
    <w:rsid w:val="00E10CDE"/>
    <w:rsid w:val="00E11255"/>
    <w:rsid w:val="00E12DDE"/>
    <w:rsid w:val="00E1323D"/>
    <w:rsid w:val="00E132E5"/>
    <w:rsid w:val="00E13485"/>
    <w:rsid w:val="00E13602"/>
    <w:rsid w:val="00E13ED6"/>
    <w:rsid w:val="00E14598"/>
    <w:rsid w:val="00E146D2"/>
    <w:rsid w:val="00E151A2"/>
    <w:rsid w:val="00E154D8"/>
    <w:rsid w:val="00E1582F"/>
    <w:rsid w:val="00E15E54"/>
    <w:rsid w:val="00E16774"/>
    <w:rsid w:val="00E16958"/>
    <w:rsid w:val="00E16A46"/>
    <w:rsid w:val="00E16DD5"/>
    <w:rsid w:val="00E16E9B"/>
    <w:rsid w:val="00E17B97"/>
    <w:rsid w:val="00E206FB"/>
    <w:rsid w:val="00E21A65"/>
    <w:rsid w:val="00E21DE8"/>
    <w:rsid w:val="00E22460"/>
    <w:rsid w:val="00E228E8"/>
    <w:rsid w:val="00E22D16"/>
    <w:rsid w:val="00E22E0E"/>
    <w:rsid w:val="00E233CD"/>
    <w:rsid w:val="00E23443"/>
    <w:rsid w:val="00E23A1F"/>
    <w:rsid w:val="00E23CB2"/>
    <w:rsid w:val="00E2419B"/>
    <w:rsid w:val="00E24A1C"/>
    <w:rsid w:val="00E256F0"/>
    <w:rsid w:val="00E25793"/>
    <w:rsid w:val="00E25D5C"/>
    <w:rsid w:val="00E26130"/>
    <w:rsid w:val="00E26958"/>
    <w:rsid w:val="00E26BF0"/>
    <w:rsid w:val="00E27077"/>
    <w:rsid w:val="00E271AA"/>
    <w:rsid w:val="00E271F3"/>
    <w:rsid w:val="00E27607"/>
    <w:rsid w:val="00E276ED"/>
    <w:rsid w:val="00E27C77"/>
    <w:rsid w:val="00E27F59"/>
    <w:rsid w:val="00E30569"/>
    <w:rsid w:val="00E30B18"/>
    <w:rsid w:val="00E30BBF"/>
    <w:rsid w:val="00E31BB6"/>
    <w:rsid w:val="00E3294A"/>
    <w:rsid w:val="00E33740"/>
    <w:rsid w:val="00E3379C"/>
    <w:rsid w:val="00E33FC8"/>
    <w:rsid w:val="00E33FF4"/>
    <w:rsid w:val="00E349DB"/>
    <w:rsid w:val="00E34E60"/>
    <w:rsid w:val="00E34F73"/>
    <w:rsid w:val="00E35EBC"/>
    <w:rsid w:val="00E36198"/>
    <w:rsid w:val="00E361BC"/>
    <w:rsid w:val="00E36C92"/>
    <w:rsid w:val="00E3756E"/>
    <w:rsid w:val="00E376A0"/>
    <w:rsid w:val="00E37745"/>
    <w:rsid w:val="00E37749"/>
    <w:rsid w:val="00E37B8C"/>
    <w:rsid w:val="00E4095E"/>
    <w:rsid w:val="00E40DA6"/>
    <w:rsid w:val="00E40EFC"/>
    <w:rsid w:val="00E40F21"/>
    <w:rsid w:val="00E4155E"/>
    <w:rsid w:val="00E421BD"/>
    <w:rsid w:val="00E425E7"/>
    <w:rsid w:val="00E435DA"/>
    <w:rsid w:val="00E43643"/>
    <w:rsid w:val="00E439F7"/>
    <w:rsid w:val="00E4410A"/>
    <w:rsid w:val="00E44862"/>
    <w:rsid w:val="00E44A14"/>
    <w:rsid w:val="00E44A26"/>
    <w:rsid w:val="00E44B80"/>
    <w:rsid w:val="00E45DF2"/>
    <w:rsid w:val="00E47B61"/>
    <w:rsid w:val="00E47D03"/>
    <w:rsid w:val="00E502CF"/>
    <w:rsid w:val="00E50343"/>
    <w:rsid w:val="00E5068F"/>
    <w:rsid w:val="00E50CD8"/>
    <w:rsid w:val="00E52FD7"/>
    <w:rsid w:val="00E5317F"/>
    <w:rsid w:val="00E53B34"/>
    <w:rsid w:val="00E53B7E"/>
    <w:rsid w:val="00E54571"/>
    <w:rsid w:val="00E54630"/>
    <w:rsid w:val="00E554AB"/>
    <w:rsid w:val="00E55629"/>
    <w:rsid w:val="00E5576B"/>
    <w:rsid w:val="00E55A84"/>
    <w:rsid w:val="00E56100"/>
    <w:rsid w:val="00E56796"/>
    <w:rsid w:val="00E569FF"/>
    <w:rsid w:val="00E57681"/>
    <w:rsid w:val="00E57A13"/>
    <w:rsid w:val="00E57B3D"/>
    <w:rsid w:val="00E57C9C"/>
    <w:rsid w:val="00E601EA"/>
    <w:rsid w:val="00E60968"/>
    <w:rsid w:val="00E61233"/>
    <w:rsid w:val="00E613C4"/>
    <w:rsid w:val="00E61921"/>
    <w:rsid w:val="00E61E36"/>
    <w:rsid w:val="00E620D8"/>
    <w:rsid w:val="00E62460"/>
    <w:rsid w:val="00E62611"/>
    <w:rsid w:val="00E62614"/>
    <w:rsid w:val="00E62C85"/>
    <w:rsid w:val="00E62FE9"/>
    <w:rsid w:val="00E63715"/>
    <w:rsid w:val="00E6452B"/>
    <w:rsid w:val="00E65BDA"/>
    <w:rsid w:val="00E66F0A"/>
    <w:rsid w:val="00E67435"/>
    <w:rsid w:val="00E703B3"/>
    <w:rsid w:val="00E71024"/>
    <w:rsid w:val="00E710BF"/>
    <w:rsid w:val="00E7140F"/>
    <w:rsid w:val="00E71DCA"/>
    <w:rsid w:val="00E72136"/>
    <w:rsid w:val="00E721D6"/>
    <w:rsid w:val="00E72A6A"/>
    <w:rsid w:val="00E72C39"/>
    <w:rsid w:val="00E72C5D"/>
    <w:rsid w:val="00E739F5"/>
    <w:rsid w:val="00E74993"/>
    <w:rsid w:val="00E74A60"/>
    <w:rsid w:val="00E75673"/>
    <w:rsid w:val="00E75766"/>
    <w:rsid w:val="00E76116"/>
    <w:rsid w:val="00E76C16"/>
    <w:rsid w:val="00E77077"/>
    <w:rsid w:val="00E7767A"/>
    <w:rsid w:val="00E77CDD"/>
    <w:rsid w:val="00E80215"/>
    <w:rsid w:val="00E80506"/>
    <w:rsid w:val="00E80611"/>
    <w:rsid w:val="00E80648"/>
    <w:rsid w:val="00E8070E"/>
    <w:rsid w:val="00E807BB"/>
    <w:rsid w:val="00E812BD"/>
    <w:rsid w:val="00E81E70"/>
    <w:rsid w:val="00E82AF7"/>
    <w:rsid w:val="00E84882"/>
    <w:rsid w:val="00E85825"/>
    <w:rsid w:val="00E85B78"/>
    <w:rsid w:val="00E86836"/>
    <w:rsid w:val="00E873BA"/>
    <w:rsid w:val="00E87BA1"/>
    <w:rsid w:val="00E9036A"/>
    <w:rsid w:val="00E903B4"/>
    <w:rsid w:val="00E905EE"/>
    <w:rsid w:val="00E90F11"/>
    <w:rsid w:val="00E910A3"/>
    <w:rsid w:val="00E916AB"/>
    <w:rsid w:val="00E91721"/>
    <w:rsid w:val="00E9172C"/>
    <w:rsid w:val="00E91D5A"/>
    <w:rsid w:val="00E924C2"/>
    <w:rsid w:val="00E92CC3"/>
    <w:rsid w:val="00E939E6"/>
    <w:rsid w:val="00E94337"/>
    <w:rsid w:val="00E944C2"/>
    <w:rsid w:val="00E94D1D"/>
    <w:rsid w:val="00E95DC9"/>
    <w:rsid w:val="00E95F48"/>
    <w:rsid w:val="00E966EB"/>
    <w:rsid w:val="00E97712"/>
    <w:rsid w:val="00E979DE"/>
    <w:rsid w:val="00E97C9E"/>
    <w:rsid w:val="00EA03A0"/>
    <w:rsid w:val="00EA03CA"/>
    <w:rsid w:val="00EA07DA"/>
    <w:rsid w:val="00EA0807"/>
    <w:rsid w:val="00EA11FA"/>
    <w:rsid w:val="00EA1C69"/>
    <w:rsid w:val="00EA23B9"/>
    <w:rsid w:val="00EA27F9"/>
    <w:rsid w:val="00EA2A5E"/>
    <w:rsid w:val="00EA36CC"/>
    <w:rsid w:val="00EA4118"/>
    <w:rsid w:val="00EA457F"/>
    <w:rsid w:val="00EA4C40"/>
    <w:rsid w:val="00EA50A0"/>
    <w:rsid w:val="00EA56F7"/>
    <w:rsid w:val="00EA5B05"/>
    <w:rsid w:val="00EA69E5"/>
    <w:rsid w:val="00EA7005"/>
    <w:rsid w:val="00EB0494"/>
    <w:rsid w:val="00EB102D"/>
    <w:rsid w:val="00EB1634"/>
    <w:rsid w:val="00EB1A3D"/>
    <w:rsid w:val="00EB1EAD"/>
    <w:rsid w:val="00EB251A"/>
    <w:rsid w:val="00EB292C"/>
    <w:rsid w:val="00EB4F77"/>
    <w:rsid w:val="00EB5082"/>
    <w:rsid w:val="00EB554D"/>
    <w:rsid w:val="00EB5E78"/>
    <w:rsid w:val="00EB61A4"/>
    <w:rsid w:val="00EB6E7A"/>
    <w:rsid w:val="00EB6E9A"/>
    <w:rsid w:val="00EB6FAD"/>
    <w:rsid w:val="00EB7202"/>
    <w:rsid w:val="00EB7216"/>
    <w:rsid w:val="00EB7448"/>
    <w:rsid w:val="00EB784B"/>
    <w:rsid w:val="00EB7F0F"/>
    <w:rsid w:val="00EB7FF2"/>
    <w:rsid w:val="00EC01E2"/>
    <w:rsid w:val="00EC0618"/>
    <w:rsid w:val="00EC0AA5"/>
    <w:rsid w:val="00EC0B1D"/>
    <w:rsid w:val="00EC0F7D"/>
    <w:rsid w:val="00EC1142"/>
    <w:rsid w:val="00EC11F3"/>
    <w:rsid w:val="00EC11FD"/>
    <w:rsid w:val="00EC125F"/>
    <w:rsid w:val="00EC1F53"/>
    <w:rsid w:val="00EC24AA"/>
    <w:rsid w:val="00EC3279"/>
    <w:rsid w:val="00EC3B9B"/>
    <w:rsid w:val="00EC4204"/>
    <w:rsid w:val="00EC45AE"/>
    <w:rsid w:val="00EC468D"/>
    <w:rsid w:val="00EC4DB8"/>
    <w:rsid w:val="00EC4E34"/>
    <w:rsid w:val="00EC5B63"/>
    <w:rsid w:val="00EC6175"/>
    <w:rsid w:val="00EC7140"/>
    <w:rsid w:val="00EC75FB"/>
    <w:rsid w:val="00EC7D66"/>
    <w:rsid w:val="00ED007B"/>
    <w:rsid w:val="00ED0AC4"/>
    <w:rsid w:val="00ED0D62"/>
    <w:rsid w:val="00ED0D95"/>
    <w:rsid w:val="00ED1440"/>
    <w:rsid w:val="00ED1B7A"/>
    <w:rsid w:val="00ED2540"/>
    <w:rsid w:val="00ED2C0A"/>
    <w:rsid w:val="00ED3357"/>
    <w:rsid w:val="00ED3734"/>
    <w:rsid w:val="00ED3B3C"/>
    <w:rsid w:val="00ED432C"/>
    <w:rsid w:val="00ED4393"/>
    <w:rsid w:val="00ED44B1"/>
    <w:rsid w:val="00ED4A7E"/>
    <w:rsid w:val="00ED5590"/>
    <w:rsid w:val="00ED55F9"/>
    <w:rsid w:val="00ED65EC"/>
    <w:rsid w:val="00ED69A3"/>
    <w:rsid w:val="00ED6B69"/>
    <w:rsid w:val="00ED6ECE"/>
    <w:rsid w:val="00EE00FD"/>
    <w:rsid w:val="00EE0627"/>
    <w:rsid w:val="00EE1288"/>
    <w:rsid w:val="00EE1386"/>
    <w:rsid w:val="00EE1DA5"/>
    <w:rsid w:val="00EE2BF2"/>
    <w:rsid w:val="00EE31CE"/>
    <w:rsid w:val="00EE3741"/>
    <w:rsid w:val="00EE3909"/>
    <w:rsid w:val="00EE477D"/>
    <w:rsid w:val="00EE47E4"/>
    <w:rsid w:val="00EE4C70"/>
    <w:rsid w:val="00EE4F5C"/>
    <w:rsid w:val="00EE56DC"/>
    <w:rsid w:val="00EE704C"/>
    <w:rsid w:val="00EE738E"/>
    <w:rsid w:val="00EE7810"/>
    <w:rsid w:val="00EF008B"/>
    <w:rsid w:val="00EF04CE"/>
    <w:rsid w:val="00EF0BE0"/>
    <w:rsid w:val="00EF0EB7"/>
    <w:rsid w:val="00EF1F0C"/>
    <w:rsid w:val="00EF2777"/>
    <w:rsid w:val="00EF31CC"/>
    <w:rsid w:val="00EF34BE"/>
    <w:rsid w:val="00EF43E4"/>
    <w:rsid w:val="00EF457B"/>
    <w:rsid w:val="00EF5536"/>
    <w:rsid w:val="00EF5F3F"/>
    <w:rsid w:val="00EF606D"/>
    <w:rsid w:val="00EF630E"/>
    <w:rsid w:val="00EF6DA6"/>
    <w:rsid w:val="00EF7D3D"/>
    <w:rsid w:val="00EF7E43"/>
    <w:rsid w:val="00EF7EEB"/>
    <w:rsid w:val="00F00671"/>
    <w:rsid w:val="00F006C9"/>
    <w:rsid w:val="00F01E13"/>
    <w:rsid w:val="00F022BE"/>
    <w:rsid w:val="00F02B3D"/>
    <w:rsid w:val="00F03409"/>
    <w:rsid w:val="00F036CB"/>
    <w:rsid w:val="00F03C02"/>
    <w:rsid w:val="00F03CFF"/>
    <w:rsid w:val="00F048D8"/>
    <w:rsid w:val="00F04E5C"/>
    <w:rsid w:val="00F055BF"/>
    <w:rsid w:val="00F0592C"/>
    <w:rsid w:val="00F05AC1"/>
    <w:rsid w:val="00F05BCF"/>
    <w:rsid w:val="00F067C3"/>
    <w:rsid w:val="00F067DB"/>
    <w:rsid w:val="00F068D9"/>
    <w:rsid w:val="00F06B52"/>
    <w:rsid w:val="00F07031"/>
    <w:rsid w:val="00F074ED"/>
    <w:rsid w:val="00F103C5"/>
    <w:rsid w:val="00F11CBF"/>
    <w:rsid w:val="00F12407"/>
    <w:rsid w:val="00F12697"/>
    <w:rsid w:val="00F12F11"/>
    <w:rsid w:val="00F1324D"/>
    <w:rsid w:val="00F13257"/>
    <w:rsid w:val="00F13362"/>
    <w:rsid w:val="00F134A1"/>
    <w:rsid w:val="00F13738"/>
    <w:rsid w:val="00F13F0F"/>
    <w:rsid w:val="00F1481A"/>
    <w:rsid w:val="00F14A8D"/>
    <w:rsid w:val="00F15117"/>
    <w:rsid w:val="00F15B36"/>
    <w:rsid w:val="00F15BE0"/>
    <w:rsid w:val="00F15C6F"/>
    <w:rsid w:val="00F163B0"/>
    <w:rsid w:val="00F16957"/>
    <w:rsid w:val="00F170CC"/>
    <w:rsid w:val="00F17489"/>
    <w:rsid w:val="00F179AD"/>
    <w:rsid w:val="00F205A7"/>
    <w:rsid w:val="00F20881"/>
    <w:rsid w:val="00F20C3D"/>
    <w:rsid w:val="00F21102"/>
    <w:rsid w:val="00F2168F"/>
    <w:rsid w:val="00F21E31"/>
    <w:rsid w:val="00F22BAE"/>
    <w:rsid w:val="00F23502"/>
    <w:rsid w:val="00F24565"/>
    <w:rsid w:val="00F24793"/>
    <w:rsid w:val="00F24A30"/>
    <w:rsid w:val="00F2517E"/>
    <w:rsid w:val="00F25414"/>
    <w:rsid w:val="00F2586E"/>
    <w:rsid w:val="00F25990"/>
    <w:rsid w:val="00F277D6"/>
    <w:rsid w:val="00F27ABE"/>
    <w:rsid w:val="00F30888"/>
    <w:rsid w:val="00F31850"/>
    <w:rsid w:val="00F327DE"/>
    <w:rsid w:val="00F32F9F"/>
    <w:rsid w:val="00F332B3"/>
    <w:rsid w:val="00F33729"/>
    <w:rsid w:val="00F33E7E"/>
    <w:rsid w:val="00F3406E"/>
    <w:rsid w:val="00F34120"/>
    <w:rsid w:val="00F34404"/>
    <w:rsid w:val="00F345A2"/>
    <w:rsid w:val="00F35441"/>
    <w:rsid w:val="00F359CE"/>
    <w:rsid w:val="00F35B59"/>
    <w:rsid w:val="00F35D79"/>
    <w:rsid w:val="00F363BA"/>
    <w:rsid w:val="00F36F2E"/>
    <w:rsid w:val="00F37C60"/>
    <w:rsid w:val="00F40183"/>
    <w:rsid w:val="00F402A4"/>
    <w:rsid w:val="00F404B1"/>
    <w:rsid w:val="00F40CC8"/>
    <w:rsid w:val="00F41362"/>
    <w:rsid w:val="00F41C90"/>
    <w:rsid w:val="00F41D60"/>
    <w:rsid w:val="00F42B27"/>
    <w:rsid w:val="00F42ED4"/>
    <w:rsid w:val="00F42F3C"/>
    <w:rsid w:val="00F43587"/>
    <w:rsid w:val="00F45637"/>
    <w:rsid w:val="00F4665A"/>
    <w:rsid w:val="00F46AA0"/>
    <w:rsid w:val="00F47306"/>
    <w:rsid w:val="00F47EBC"/>
    <w:rsid w:val="00F51B17"/>
    <w:rsid w:val="00F52519"/>
    <w:rsid w:val="00F53241"/>
    <w:rsid w:val="00F532CF"/>
    <w:rsid w:val="00F53874"/>
    <w:rsid w:val="00F54C59"/>
    <w:rsid w:val="00F55182"/>
    <w:rsid w:val="00F55202"/>
    <w:rsid w:val="00F56008"/>
    <w:rsid w:val="00F5610F"/>
    <w:rsid w:val="00F5611A"/>
    <w:rsid w:val="00F56C4D"/>
    <w:rsid w:val="00F56E46"/>
    <w:rsid w:val="00F570B0"/>
    <w:rsid w:val="00F5715A"/>
    <w:rsid w:val="00F57506"/>
    <w:rsid w:val="00F57A0F"/>
    <w:rsid w:val="00F6012D"/>
    <w:rsid w:val="00F60460"/>
    <w:rsid w:val="00F606AB"/>
    <w:rsid w:val="00F60A88"/>
    <w:rsid w:val="00F611D2"/>
    <w:rsid w:val="00F6124F"/>
    <w:rsid w:val="00F61A9F"/>
    <w:rsid w:val="00F6324B"/>
    <w:rsid w:val="00F63348"/>
    <w:rsid w:val="00F63D6C"/>
    <w:rsid w:val="00F63E0E"/>
    <w:rsid w:val="00F64666"/>
    <w:rsid w:val="00F6517F"/>
    <w:rsid w:val="00F6565A"/>
    <w:rsid w:val="00F65AD6"/>
    <w:rsid w:val="00F65C48"/>
    <w:rsid w:val="00F65FCC"/>
    <w:rsid w:val="00F668B3"/>
    <w:rsid w:val="00F66989"/>
    <w:rsid w:val="00F6708E"/>
    <w:rsid w:val="00F676DF"/>
    <w:rsid w:val="00F67D73"/>
    <w:rsid w:val="00F7079E"/>
    <w:rsid w:val="00F709A4"/>
    <w:rsid w:val="00F71004"/>
    <w:rsid w:val="00F71014"/>
    <w:rsid w:val="00F711F4"/>
    <w:rsid w:val="00F714B0"/>
    <w:rsid w:val="00F718FA"/>
    <w:rsid w:val="00F7255E"/>
    <w:rsid w:val="00F74689"/>
    <w:rsid w:val="00F753CC"/>
    <w:rsid w:val="00F7581D"/>
    <w:rsid w:val="00F7584C"/>
    <w:rsid w:val="00F7687A"/>
    <w:rsid w:val="00F768F9"/>
    <w:rsid w:val="00F76ED0"/>
    <w:rsid w:val="00F77DA9"/>
    <w:rsid w:val="00F801E9"/>
    <w:rsid w:val="00F80538"/>
    <w:rsid w:val="00F807CD"/>
    <w:rsid w:val="00F81045"/>
    <w:rsid w:val="00F81161"/>
    <w:rsid w:val="00F81693"/>
    <w:rsid w:val="00F82042"/>
    <w:rsid w:val="00F82163"/>
    <w:rsid w:val="00F822B9"/>
    <w:rsid w:val="00F82466"/>
    <w:rsid w:val="00F8249A"/>
    <w:rsid w:val="00F83380"/>
    <w:rsid w:val="00F839C6"/>
    <w:rsid w:val="00F8407B"/>
    <w:rsid w:val="00F845DD"/>
    <w:rsid w:val="00F84B40"/>
    <w:rsid w:val="00F853CC"/>
    <w:rsid w:val="00F85675"/>
    <w:rsid w:val="00F85CA6"/>
    <w:rsid w:val="00F85E65"/>
    <w:rsid w:val="00F86D0E"/>
    <w:rsid w:val="00F8796B"/>
    <w:rsid w:val="00F90183"/>
    <w:rsid w:val="00F90522"/>
    <w:rsid w:val="00F908D6"/>
    <w:rsid w:val="00F90CC5"/>
    <w:rsid w:val="00F90CDE"/>
    <w:rsid w:val="00F924AF"/>
    <w:rsid w:val="00F943D1"/>
    <w:rsid w:val="00F94415"/>
    <w:rsid w:val="00F94C94"/>
    <w:rsid w:val="00F96138"/>
    <w:rsid w:val="00F9750C"/>
    <w:rsid w:val="00F979DB"/>
    <w:rsid w:val="00F97BF8"/>
    <w:rsid w:val="00FA075F"/>
    <w:rsid w:val="00FA1E59"/>
    <w:rsid w:val="00FA2AAF"/>
    <w:rsid w:val="00FA32D1"/>
    <w:rsid w:val="00FA4C8F"/>
    <w:rsid w:val="00FA4E88"/>
    <w:rsid w:val="00FA570A"/>
    <w:rsid w:val="00FB2115"/>
    <w:rsid w:val="00FB24A2"/>
    <w:rsid w:val="00FB24D8"/>
    <w:rsid w:val="00FB484A"/>
    <w:rsid w:val="00FB5DBB"/>
    <w:rsid w:val="00FB622D"/>
    <w:rsid w:val="00FB64F6"/>
    <w:rsid w:val="00FB68B2"/>
    <w:rsid w:val="00FB68EB"/>
    <w:rsid w:val="00FB788F"/>
    <w:rsid w:val="00FC0024"/>
    <w:rsid w:val="00FC059A"/>
    <w:rsid w:val="00FC0AC8"/>
    <w:rsid w:val="00FC0BC9"/>
    <w:rsid w:val="00FC19D5"/>
    <w:rsid w:val="00FC31DB"/>
    <w:rsid w:val="00FC3B7C"/>
    <w:rsid w:val="00FC3E10"/>
    <w:rsid w:val="00FC3E6C"/>
    <w:rsid w:val="00FC43E0"/>
    <w:rsid w:val="00FC47E7"/>
    <w:rsid w:val="00FC4DD1"/>
    <w:rsid w:val="00FC53AA"/>
    <w:rsid w:val="00FC588C"/>
    <w:rsid w:val="00FC5CFF"/>
    <w:rsid w:val="00FC6492"/>
    <w:rsid w:val="00FC6519"/>
    <w:rsid w:val="00FC65B4"/>
    <w:rsid w:val="00FC74F3"/>
    <w:rsid w:val="00FC7E96"/>
    <w:rsid w:val="00FD0A47"/>
    <w:rsid w:val="00FD0A69"/>
    <w:rsid w:val="00FD0C50"/>
    <w:rsid w:val="00FD0E18"/>
    <w:rsid w:val="00FD1AE8"/>
    <w:rsid w:val="00FD255F"/>
    <w:rsid w:val="00FD28E3"/>
    <w:rsid w:val="00FD3425"/>
    <w:rsid w:val="00FD4117"/>
    <w:rsid w:val="00FD438E"/>
    <w:rsid w:val="00FD44C9"/>
    <w:rsid w:val="00FD4AC9"/>
    <w:rsid w:val="00FD4BB3"/>
    <w:rsid w:val="00FD4CF5"/>
    <w:rsid w:val="00FD5920"/>
    <w:rsid w:val="00FD610A"/>
    <w:rsid w:val="00FD71BD"/>
    <w:rsid w:val="00FE08D4"/>
    <w:rsid w:val="00FE0902"/>
    <w:rsid w:val="00FE0C4D"/>
    <w:rsid w:val="00FE0F33"/>
    <w:rsid w:val="00FE225B"/>
    <w:rsid w:val="00FE283D"/>
    <w:rsid w:val="00FE28F3"/>
    <w:rsid w:val="00FE31FE"/>
    <w:rsid w:val="00FE35BE"/>
    <w:rsid w:val="00FE3B98"/>
    <w:rsid w:val="00FE4351"/>
    <w:rsid w:val="00FE4F79"/>
    <w:rsid w:val="00FE56E9"/>
    <w:rsid w:val="00FE5740"/>
    <w:rsid w:val="00FE5FE6"/>
    <w:rsid w:val="00FE611D"/>
    <w:rsid w:val="00FE6667"/>
    <w:rsid w:val="00FE68AE"/>
    <w:rsid w:val="00FE68B7"/>
    <w:rsid w:val="00FE7497"/>
    <w:rsid w:val="00FE756B"/>
    <w:rsid w:val="00FF0884"/>
    <w:rsid w:val="00FF0DDF"/>
    <w:rsid w:val="00FF0FC5"/>
    <w:rsid w:val="00FF1810"/>
    <w:rsid w:val="00FF1FDA"/>
    <w:rsid w:val="00FF20A1"/>
    <w:rsid w:val="00FF250E"/>
    <w:rsid w:val="00FF2C6A"/>
    <w:rsid w:val="00FF2C6D"/>
    <w:rsid w:val="00FF349D"/>
    <w:rsid w:val="00FF3790"/>
    <w:rsid w:val="00FF4319"/>
    <w:rsid w:val="00FF4A6E"/>
    <w:rsid w:val="00FF4E51"/>
    <w:rsid w:val="00FF4EB0"/>
    <w:rsid w:val="00FF5035"/>
    <w:rsid w:val="00FF55D3"/>
    <w:rsid w:val="00FF5FA6"/>
    <w:rsid w:val="00FF649B"/>
    <w:rsid w:val="00FF65FC"/>
    <w:rsid w:val="00FF762D"/>
    <w:rsid w:val="00FF7BE1"/>
    <w:rsid w:val="04C17408"/>
    <w:rsid w:val="097D56FD"/>
    <w:rsid w:val="23312ABE"/>
    <w:rsid w:val="286976B0"/>
    <w:rsid w:val="357348B3"/>
    <w:rsid w:val="38A93982"/>
    <w:rsid w:val="3C085F5C"/>
    <w:rsid w:val="594520DB"/>
    <w:rsid w:val="5FAB59DD"/>
    <w:rsid w:val="61944F21"/>
    <w:rsid w:val="771828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dda383,#3a9e95"/>
    </o:shapedefaults>
    <o:shapelayout v:ext="edit">
      <o:idmap v:ext="edit" data="1"/>
    </o:shapelayout>
  </w:shapeDefaults>
  <w:decimalSymbol w:val="."/>
  <w:listSeparator w:val=","/>
  <w14:docId w14:val="601F90A4"/>
  <w15:docId w15:val="{78B1015E-7CB2-4EB5-94D1-440F9DE68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38D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8138D6"/>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0"/>
    <w:uiPriority w:val="9"/>
    <w:unhideWhenUsed/>
    <w:qFormat/>
    <w:rsid w:val="008138D6"/>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0"/>
    <w:uiPriority w:val="9"/>
    <w:unhideWhenUsed/>
    <w:qFormat/>
    <w:rsid w:val="008138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sid w:val="008138D6"/>
    <w:rPr>
      <w:rFonts w:ascii="宋体" w:eastAsia="宋体"/>
      <w:sz w:val="18"/>
      <w:szCs w:val="18"/>
    </w:rPr>
  </w:style>
  <w:style w:type="paragraph" w:styleId="a5">
    <w:name w:val="annotation text"/>
    <w:basedOn w:val="a"/>
    <w:link w:val="a6"/>
    <w:uiPriority w:val="99"/>
    <w:unhideWhenUsed/>
    <w:qFormat/>
    <w:rsid w:val="008138D6"/>
    <w:pPr>
      <w:jc w:val="left"/>
    </w:pPr>
  </w:style>
  <w:style w:type="paragraph" w:styleId="31">
    <w:name w:val="toc 3"/>
    <w:basedOn w:val="a"/>
    <w:next w:val="a"/>
    <w:uiPriority w:val="39"/>
    <w:unhideWhenUsed/>
    <w:qFormat/>
    <w:rsid w:val="008138D6"/>
    <w:pPr>
      <w:ind w:leftChars="400" w:left="840"/>
    </w:pPr>
  </w:style>
  <w:style w:type="paragraph" w:styleId="a7">
    <w:name w:val="Date"/>
    <w:basedOn w:val="a"/>
    <w:next w:val="a"/>
    <w:link w:val="a8"/>
    <w:uiPriority w:val="99"/>
    <w:unhideWhenUsed/>
    <w:qFormat/>
    <w:rsid w:val="008138D6"/>
    <w:pPr>
      <w:ind w:leftChars="2500" w:left="100"/>
    </w:pPr>
  </w:style>
  <w:style w:type="paragraph" w:styleId="a9">
    <w:name w:val="endnote text"/>
    <w:basedOn w:val="a"/>
    <w:link w:val="aa"/>
    <w:uiPriority w:val="99"/>
    <w:semiHidden/>
    <w:unhideWhenUsed/>
    <w:qFormat/>
    <w:rsid w:val="008138D6"/>
    <w:pPr>
      <w:snapToGrid w:val="0"/>
      <w:jc w:val="left"/>
    </w:pPr>
  </w:style>
  <w:style w:type="paragraph" w:styleId="ab">
    <w:name w:val="Balloon Text"/>
    <w:basedOn w:val="a"/>
    <w:link w:val="ac"/>
    <w:uiPriority w:val="99"/>
    <w:unhideWhenUsed/>
    <w:qFormat/>
    <w:rsid w:val="008138D6"/>
    <w:rPr>
      <w:sz w:val="18"/>
      <w:szCs w:val="18"/>
    </w:rPr>
  </w:style>
  <w:style w:type="paragraph" w:styleId="ad">
    <w:name w:val="footer"/>
    <w:basedOn w:val="a"/>
    <w:link w:val="ae"/>
    <w:uiPriority w:val="99"/>
    <w:unhideWhenUsed/>
    <w:qFormat/>
    <w:rsid w:val="008138D6"/>
    <w:pPr>
      <w:tabs>
        <w:tab w:val="center" w:pos="4153"/>
        <w:tab w:val="right" w:pos="8306"/>
      </w:tabs>
      <w:snapToGrid w:val="0"/>
      <w:jc w:val="left"/>
    </w:pPr>
    <w:rPr>
      <w:sz w:val="18"/>
      <w:szCs w:val="18"/>
    </w:rPr>
  </w:style>
  <w:style w:type="paragraph" w:styleId="af">
    <w:name w:val="header"/>
    <w:basedOn w:val="a"/>
    <w:link w:val="af0"/>
    <w:uiPriority w:val="99"/>
    <w:unhideWhenUsed/>
    <w:qFormat/>
    <w:rsid w:val="008138D6"/>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8138D6"/>
    <w:pPr>
      <w:tabs>
        <w:tab w:val="left" w:pos="426"/>
        <w:tab w:val="right" w:leader="dot" w:pos="9072"/>
      </w:tabs>
      <w:ind w:right="-2" w:firstLineChars="202" w:firstLine="424"/>
    </w:pPr>
    <w:rPr>
      <w:rFonts w:ascii="微软雅黑" w:eastAsia="微软雅黑" w:hAnsi="微软雅黑"/>
      <w:b/>
    </w:rPr>
  </w:style>
  <w:style w:type="paragraph" w:styleId="af1">
    <w:name w:val="footnote text"/>
    <w:basedOn w:val="a"/>
    <w:link w:val="af2"/>
    <w:uiPriority w:val="99"/>
    <w:unhideWhenUsed/>
    <w:qFormat/>
    <w:rsid w:val="008138D6"/>
    <w:pPr>
      <w:snapToGrid w:val="0"/>
      <w:jc w:val="left"/>
    </w:pPr>
    <w:rPr>
      <w:sz w:val="18"/>
      <w:szCs w:val="18"/>
    </w:rPr>
  </w:style>
  <w:style w:type="paragraph" w:styleId="21">
    <w:name w:val="toc 2"/>
    <w:basedOn w:val="a"/>
    <w:next w:val="a"/>
    <w:uiPriority w:val="39"/>
    <w:unhideWhenUsed/>
    <w:qFormat/>
    <w:rsid w:val="008138D6"/>
    <w:pPr>
      <w:tabs>
        <w:tab w:val="left" w:pos="851"/>
        <w:tab w:val="right" w:leader="dot" w:pos="9072"/>
      </w:tabs>
      <w:ind w:leftChars="200" w:left="420"/>
    </w:pPr>
    <w:rPr>
      <w:rFonts w:ascii="微软雅黑" w:eastAsia="微软雅黑" w:hAnsi="微软雅黑"/>
      <w:b/>
    </w:rPr>
  </w:style>
  <w:style w:type="paragraph" w:styleId="af3">
    <w:name w:val="Normal (Web)"/>
    <w:basedOn w:val="a"/>
    <w:uiPriority w:val="99"/>
    <w:unhideWhenUsed/>
    <w:qFormat/>
    <w:rsid w:val="008138D6"/>
    <w:pPr>
      <w:widowControl/>
      <w:spacing w:before="100" w:beforeAutospacing="1" w:after="100" w:afterAutospacing="1"/>
      <w:jc w:val="left"/>
    </w:pPr>
    <w:rPr>
      <w:rFonts w:ascii="宋体" w:eastAsia="宋体" w:hAnsi="宋体" w:cs="宋体"/>
      <w:kern w:val="0"/>
      <w:sz w:val="24"/>
      <w:szCs w:val="24"/>
    </w:rPr>
  </w:style>
  <w:style w:type="paragraph" w:styleId="af4">
    <w:name w:val="annotation subject"/>
    <w:basedOn w:val="a5"/>
    <w:next w:val="a5"/>
    <w:link w:val="af5"/>
    <w:uiPriority w:val="99"/>
    <w:unhideWhenUsed/>
    <w:qFormat/>
    <w:rsid w:val="008138D6"/>
    <w:rPr>
      <w:b/>
      <w:bCs/>
    </w:rPr>
  </w:style>
  <w:style w:type="table" w:styleId="af6">
    <w:name w:val="Table Grid"/>
    <w:basedOn w:val="a1"/>
    <w:uiPriority w:val="39"/>
    <w:qFormat/>
    <w:rsid w:val="00813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qFormat/>
    <w:rsid w:val="008138D6"/>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7">
    <w:name w:val="Strong"/>
    <w:basedOn w:val="a0"/>
    <w:uiPriority w:val="22"/>
    <w:qFormat/>
    <w:rsid w:val="008138D6"/>
    <w:rPr>
      <w:b/>
      <w:bCs/>
    </w:rPr>
  </w:style>
  <w:style w:type="character" w:styleId="af8">
    <w:name w:val="endnote reference"/>
    <w:basedOn w:val="a0"/>
    <w:uiPriority w:val="99"/>
    <w:semiHidden/>
    <w:unhideWhenUsed/>
    <w:qFormat/>
    <w:rsid w:val="008138D6"/>
    <w:rPr>
      <w:vertAlign w:val="superscript"/>
    </w:rPr>
  </w:style>
  <w:style w:type="character" w:styleId="af9">
    <w:name w:val="Emphasis"/>
    <w:basedOn w:val="a0"/>
    <w:uiPriority w:val="20"/>
    <w:qFormat/>
    <w:rsid w:val="008138D6"/>
    <w:rPr>
      <w:i/>
      <w:iCs/>
    </w:rPr>
  </w:style>
  <w:style w:type="character" w:styleId="afa">
    <w:name w:val="Hyperlink"/>
    <w:basedOn w:val="a0"/>
    <w:uiPriority w:val="99"/>
    <w:unhideWhenUsed/>
    <w:qFormat/>
    <w:rsid w:val="008138D6"/>
    <w:rPr>
      <w:color w:val="0000FF" w:themeColor="hyperlink"/>
      <w:u w:val="single"/>
    </w:rPr>
  </w:style>
  <w:style w:type="character" w:styleId="afb">
    <w:name w:val="annotation reference"/>
    <w:basedOn w:val="a0"/>
    <w:uiPriority w:val="99"/>
    <w:unhideWhenUsed/>
    <w:qFormat/>
    <w:rsid w:val="008138D6"/>
    <w:rPr>
      <w:sz w:val="21"/>
      <w:szCs w:val="21"/>
    </w:rPr>
  </w:style>
  <w:style w:type="character" w:styleId="afc">
    <w:name w:val="footnote reference"/>
    <w:basedOn w:val="a0"/>
    <w:uiPriority w:val="99"/>
    <w:unhideWhenUsed/>
    <w:qFormat/>
    <w:rsid w:val="008138D6"/>
    <w:rPr>
      <w:vertAlign w:val="superscript"/>
    </w:rPr>
  </w:style>
  <w:style w:type="character" w:customStyle="1" w:styleId="10">
    <w:name w:val="标题 1 字符"/>
    <w:basedOn w:val="a0"/>
    <w:link w:val="1"/>
    <w:uiPriority w:val="9"/>
    <w:qFormat/>
    <w:rsid w:val="008138D6"/>
    <w:rPr>
      <w:rFonts w:ascii="Calibri" w:eastAsia="宋体" w:hAnsi="Calibri" w:cs="Times New Roman"/>
      <w:b/>
      <w:bCs/>
      <w:kern w:val="44"/>
      <w:sz w:val="44"/>
      <w:szCs w:val="44"/>
    </w:rPr>
  </w:style>
  <w:style w:type="character" w:customStyle="1" w:styleId="20">
    <w:name w:val="标题 2 字符"/>
    <w:basedOn w:val="a0"/>
    <w:link w:val="2"/>
    <w:uiPriority w:val="9"/>
    <w:qFormat/>
    <w:rsid w:val="008138D6"/>
    <w:rPr>
      <w:rFonts w:ascii="Cambria" w:eastAsia="宋体" w:hAnsi="Cambria" w:cs="Times New Roman"/>
      <w:b/>
      <w:bCs/>
      <w:sz w:val="32"/>
      <w:szCs w:val="32"/>
    </w:rPr>
  </w:style>
  <w:style w:type="character" w:customStyle="1" w:styleId="30">
    <w:name w:val="标题 3 字符"/>
    <w:basedOn w:val="a0"/>
    <w:link w:val="3"/>
    <w:uiPriority w:val="9"/>
    <w:qFormat/>
    <w:rsid w:val="008138D6"/>
    <w:rPr>
      <w:b/>
      <w:bCs/>
      <w:sz w:val="32"/>
      <w:szCs w:val="32"/>
    </w:rPr>
  </w:style>
  <w:style w:type="paragraph" w:styleId="afd">
    <w:name w:val="List Paragraph"/>
    <w:basedOn w:val="a"/>
    <w:link w:val="afe"/>
    <w:uiPriority w:val="34"/>
    <w:qFormat/>
    <w:rsid w:val="008138D6"/>
    <w:pPr>
      <w:ind w:firstLineChars="200" w:firstLine="420"/>
    </w:pPr>
  </w:style>
  <w:style w:type="character" w:customStyle="1" w:styleId="afe">
    <w:name w:val="列出段落 字符"/>
    <w:basedOn w:val="a0"/>
    <w:link w:val="afd"/>
    <w:uiPriority w:val="34"/>
    <w:qFormat/>
    <w:locked/>
    <w:rsid w:val="008138D6"/>
  </w:style>
  <w:style w:type="paragraph" w:customStyle="1" w:styleId="Default">
    <w:name w:val="Default"/>
    <w:qFormat/>
    <w:rsid w:val="008138D6"/>
    <w:pPr>
      <w:widowControl w:val="0"/>
      <w:autoSpaceDE w:val="0"/>
      <w:autoSpaceDN w:val="0"/>
      <w:adjustRightInd w:val="0"/>
    </w:pPr>
    <w:rPr>
      <w:rFonts w:ascii="微软雅黑" w:eastAsia="微软雅黑" w:hAnsiTheme="minorHAnsi" w:cs="微软雅黑"/>
      <w:color w:val="000000"/>
      <w:sz w:val="24"/>
      <w:szCs w:val="24"/>
    </w:rPr>
  </w:style>
  <w:style w:type="character" w:customStyle="1" w:styleId="a8">
    <w:name w:val="日期 字符"/>
    <w:basedOn w:val="a0"/>
    <w:link w:val="a7"/>
    <w:uiPriority w:val="99"/>
    <w:qFormat/>
    <w:rsid w:val="008138D6"/>
  </w:style>
  <w:style w:type="character" w:customStyle="1" w:styleId="ac">
    <w:name w:val="批注框文本 字符"/>
    <w:basedOn w:val="a0"/>
    <w:link w:val="ab"/>
    <w:uiPriority w:val="99"/>
    <w:qFormat/>
    <w:rsid w:val="008138D6"/>
    <w:rPr>
      <w:sz w:val="18"/>
      <w:szCs w:val="18"/>
    </w:rPr>
  </w:style>
  <w:style w:type="character" w:customStyle="1" w:styleId="af0">
    <w:name w:val="页眉 字符"/>
    <w:basedOn w:val="a0"/>
    <w:link w:val="af"/>
    <w:uiPriority w:val="99"/>
    <w:qFormat/>
    <w:rsid w:val="008138D6"/>
    <w:rPr>
      <w:sz w:val="18"/>
      <w:szCs w:val="18"/>
    </w:rPr>
  </w:style>
  <w:style w:type="character" w:customStyle="1" w:styleId="ae">
    <w:name w:val="页脚 字符"/>
    <w:basedOn w:val="a0"/>
    <w:link w:val="ad"/>
    <w:uiPriority w:val="99"/>
    <w:qFormat/>
    <w:rsid w:val="008138D6"/>
    <w:rPr>
      <w:sz w:val="18"/>
      <w:szCs w:val="18"/>
    </w:rPr>
  </w:style>
  <w:style w:type="paragraph" w:customStyle="1" w:styleId="TOC1">
    <w:name w:val="TOC 标题1"/>
    <w:basedOn w:val="1"/>
    <w:next w:val="a"/>
    <w:uiPriority w:val="39"/>
    <w:semiHidden/>
    <w:unhideWhenUsed/>
    <w:qFormat/>
    <w:rsid w:val="008138D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4">
    <w:name w:val="文档结构图 字符"/>
    <w:basedOn w:val="a0"/>
    <w:link w:val="a3"/>
    <w:uiPriority w:val="99"/>
    <w:qFormat/>
    <w:rsid w:val="008138D6"/>
    <w:rPr>
      <w:rFonts w:ascii="宋体" w:eastAsia="宋体"/>
      <w:sz w:val="18"/>
      <w:szCs w:val="18"/>
    </w:rPr>
  </w:style>
  <w:style w:type="character" w:customStyle="1" w:styleId="a6">
    <w:name w:val="批注文字 字符"/>
    <w:basedOn w:val="a0"/>
    <w:link w:val="a5"/>
    <w:uiPriority w:val="99"/>
    <w:qFormat/>
    <w:rsid w:val="008138D6"/>
  </w:style>
  <w:style w:type="character" w:customStyle="1" w:styleId="af5">
    <w:name w:val="批注主题 字符"/>
    <w:basedOn w:val="a6"/>
    <w:link w:val="af4"/>
    <w:uiPriority w:val="99"/>
    <w:qFormat/>
    <w:rsid w:val="008138D6"/>
    <w:rPr>
      <w:b/>
      <w:bCs/>
    </w:rPr>
  </w:style>
  <w:style w:type="character" w:customStyle="1" w:styleId="aa">
    <w:name w:val="尾注文本 字符"/>
    <w:basedOn w:val="a0"/>
    <w:link w:val="a9"/>
    <w:uiPriority w:val="99"/>
    <w:semiHidden/>
    <w:qFormat/>
    <w:rsid w:val="008138D6"/>
  </w:style>
  <w:style w:type="character" w:customStyle="1" w:styleId="af2">
    <w:name w:val="脚注文本 字符"/>
    <w:basedOn w:val="a0"/>
    <w:link w:val="af1"/>
    <w:uiPriority w:val="99"/>
    <w:qFormat/>
    <w:rsid w:val="008138D6"/>
    <w:rPr>
      <w:sz w:val="18"/>
      <w:szCs w:val="18"/>
    </w:rPr>
  </w:style>
  <w:style w:type="paragraph" w:customStyle="1" w:styleId="12">
    <w:name w:val="列出段落1"/>
    <w:basedOn w:val="a"/>
    <w:uiPriority w:val="34"/>
    <w:qFormat/>
    <w:rsid w:val="008138D6"/>
    <w:pPr>
      <w:ind w:firstLineChars="200" w:firstLine="420"/>
    </w:pPr>
    <w:rPr>
      <w:rFonts w:ascii="Calibri" w:eastAsia="宋体" w:hAnsi="Calibri" w:cs="Times New Roman"/>
    </w:rPr>
  </w:style>
  <w:style w:type="paragraph" w:styleId="aff">
    <w:name w:val="No Spacing"/>
    <w:link w:val="aff0"/>
    <w:uiPriority w:val="1"/>
    <w:qFormat/>
    <w:rsid w:val="008138D6"/>
    <w:pPr>
      <w:widowControl w:val="0"/>
      <w:jc w:val="both"/>
    </w:pPr>
    <w:rPr>
      <w:rFonts w:asciiTheme="minorHAnsi" w:eastAsiaTheme="minorEastAsia" w:hAnsiTheme="minorHAnsi" w:cstheme="minorBidi"/>
      <w:kern w:val="2"/>
      <w:sz w:val="21"/>
      <w:szCs w:val="22"/>
    </w:rPr>
  </w:style>
  <w:style w:type="character" w:customStyle="1" w:styleId="aff0">
    <w:name w:val="无间隔 字符"/>
    <w:basedOn w:val="a0"/>
    <w:link w:val="aff"/>
    <w:uiPriority w:val="1"/>
    <w:qFormat/>
    <w:rsid w:val="008138D6"/>
  </w:style>
  <w:style w:type="paragraph" w:styleId="aff1">
    <w:name w:val="caption"/>
    <w:basedOn w:val="a"/>
    <w:next w:val="a"/>
    <w:qFormat/>
    <w:rsid w:val="000570C4"/>
    <w:rPr>
      <w:rFonts w:ascii="Arial" w:eastAsia="黑体" w:hAnsi="Arial" w:cs="Arial"/>
      <w:sz w:val="20"/>
      <w:szCs w:val="20"/>
    </w:rPr>
  </w:style>
  <w:style w:type="paragraph" w:customStyle="1" w:styleId="WPSOffice1">
    <w:name w:val="WPSOffice手动目录 1"/>
    <w:qFormat/>
    <w:rsid w:val="000570C4"/>
  </w:style>
  <w:style w:type="paragraph" w:customStyle="1" w:styleId="WPSOffice2">
    <w:name w:val="WPSOffice手动目录 2"/>
    <w:qFormat/>
    <w:rsid w:val="000570C4"/>
    <w:pPr>
      <w:ind w:leftChars="200" w:left="200"/>
    </w:pPr>
  </w:style>
  <w:style w:type="paragraph" w:customStyle="1" w:styleId="0">
    <w:name w:val="0一级"/>
    <w:basedOn w:val="a"/>
    <w:qFormat/>
    <w:rsid w:val="000570C4"/>
    <w:pPr>
      <w:snapToGrid w:val="0"/>
      <w:spacing w:beforeLines="100" w:afterLines="50"/>
      <w:outlineLvl w:val="0"/>
    </w:pPr>
    <w:rPr>
      <w:rFonts w:ascii="黑体" w:eastAsia="黑体" w:hAnsi="黑体"/>
      <w:sz w:val="32"/>
      <w:szCs w:val="28"/>
    </w:rPr>
  </w:style>
  <w:style w:type="paragraph" w:customStyle="1" w:styleId="00">
    <w:name w:val="0二级"/>
    <w:basedOn w:val="a"/>
    <w:qFormat/>
    <w:rsid w:val="00B44D37"/>
    <w:pPr>
      <w:spacing w:beforeLines="100" w:before="312" w:afterLines="50" w:after="156"/>
      <w:outlineLvl w:val="1"/>
    </w:pPr>
    <w:rPr>
      <w:rFonts w:ascii="黑体" w:eastAsia="黑体" w:hAnsi="黑体"/>
      <w:sz w:val="28"/>
      <w:szCs w:val="28"/>
    </w:rPr>
  </w:style>
  <w:style w:type="paragraph" w:customStyle="1" w:styleId="13">
    <w:name w:val="正文1"/>
    <w:basedOn w:val="a"/>
    <w:link w:val="1Char"/>
    <w:qFormat/>
    <w:rsid w:val="000570C4"/>
    <w:pPr>
      <w:autoSpaceDE w:val="0"/>
      <w:autoSpaceDN w:val="0"/>
      <w:adjustRightInd w:val="0"/>
      <w:spacing w:line="360" w:lineRule="auto"/>
      <w:ind w:firstLineChars="203" w:firstLine="426"/>
    </w:pPr>
    <w:rPr>
      <w:rFonts w:ascii="华文细黑" w:eastAsia="华文细黑" w:hAnsi="华文细黑" w:cs="Times New Roman"/>
      <w:color w:val="000000"/>
      <w:szCs w:val="20"/>
    </w:rPr>
  </w:style>
  <w:style w:type="paragraph" w:styleId="4">
    <w:name w:val="toc 4"/>
    <w:basedOn w:val="a"/>
    <w:next w:val="a"/>
    <w:autoRedefine/>
    <w:uiPriority w:val="39"/>
    <w:unhideWhenUsed/>
    <w:rsid w:val="000570C4"/>
    <w:pPr>
      <w:ind w:leftChars="600" w:left="1260"/>
    </w:pPr>
  </w:style>
  <w:style w:type="paragraph" w:styleId="5">
    <w:name w:val="toc 5"/>
    <w:basedOn w:val="a"/>
    <w:next w:val="a"/>
    <w:autoRedefine/>
    <w:uiPriority w:val="39"/>
    <w:unhideWhenUsed/>
    <w:rsid w:val="000570C4"/>
    <w:pPr>
      <w:ind w:leftChars="800" w:left="1680"/>
    </w:pPr>
  </w:style>
  <w:style w:type="paragraph" w:styleId="6">
    <w:name w:val="toc 6"/>
    <w:basedOn w:val="a"/>
    <w:next w:val="a"/>
    <w:autoRedefine/>
    <w:uiPriority w:val="39"/>
    <w:unhideWhenUsed/>
    <w:rsid w:val="000570C4"/>
    <w:pPr>
      <w:ind w:leftChars="1000" w:left="2100"/>
    </w:pPr>
  </w:style>
  <w:style w:type="paragraph" w:styleId="7">
    <w:name w:val="toc 7"/>
    <w:basedOn w:val="a"/>
    <w:next w:val="a"/>
    <w:autoRedefine/>
    <w:uiPriority w:val="39"/>
    <w:unhideWhenUsed/>
    <w:rsid w:val="000570C4"/>
    <w:pPr>
      <w:ind w:leftChars="1200" w:left="2520"/>
    </w:pPr>
  </w:style>
  <w:style w:type="paragraph" w:styleId="8">
    <w:name w:val="toc 8"/>
    <w:basedOn w:val="a"/>
    <w:next w:val="a"/>
    <w:autoRedefine/>
    <w:uiPriority w:val="39"/>
    <w:unhideWhenUsed/>
    <w:rsid w:val="000570C4"/>
    <w:pPr>
      <w:ind w:leftChars="1400" w:left="2940"/>
    </w:pPr>
  </w:style>
  <w:style w:type="paragraph" w:styleId="9">
    <w:name w:val="toc 9"/>
    <w:basedOn w:val="a"/>
    <w:next w:val="a"/>
    <w:autoRedefine/>
    <w:uiPriority w:val="39"/>
    <w:unhideWhenUsed/>
    <w:rsid w:val="000570C4"/>
    <w:pPr>
      <w:ind w:leftChars="1600" w:left="3360"/>
    </w:pPr>
  </w:style>
  <w:style w:type="character" w:customStyle="1" w:styleId="14">
    <w:name w:val="未处理的提及1"/>
    <w:basedOn w:val="a0"/>
    <w:uiPriority w:val="99"/>
    <w:semiHidden/>
    <w:unhideWhenUsed/>
    <w:rsid w:val="000570C4"/>
    <w:rPr>
      <w:color w:val="605E5C"/>
      <w:shd w:val="clear" w:color="auto" w:fill="E1DFDD"/>
    </w:rPr>
  </w:style>
  <w:style w:type="paragraph" w:customStyle="1" w:styleId="font5">
    <w:name w:val="font5"/>
    <w:basedOn w:val="a"/>
    <w:rsid w:val="000570C4"/>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0570C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64">
    <w:name w:val="xl64"/>
    <w:basedOn w:val="a"/>
    <w:rsid w:val="000570C4"/>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65">
    <w:name w:val="xl65"/>
    <w:basedOn w:val="a"/>
    <w:rsid w:val="000570C4"/>
    <w:pPr>
      <w:widowControl/>
      <w:pBdr>
        <w:top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rFonts w:ascii="宋体" w:eastAsia="宋体" w:hAnsi="宋体" w:cs="宋体"/>
      <w:b/>
      <w:bCs/>
      <w:color w:val="FFFFFF"/>
      <w:kern w:val="0"/>
      <w:sz w:val="20"/>
      <w:szCs w:val="20"/>
    </w:rPr>
  </w:style>
  <w:style w:type="paragraph" w:customStyle="1" w:styleId="xl66">
    <w:name w:val="xl66"/>
    <w:basedOn w:val="a"/>
    <w:rsid w:val="000570C4"/>
    <w:pPr>
      <w:widowControl/>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rFonts w:ascii="宋体" w:eastAsia="宋体" w:hAnsi="宋体" w:cs="宋体"/>
      <w:b/>
      <w:bCs/>
      <w:color w:val="FFFFFF"/>
      <w:kern w:val="0"/>
      <w:sz w:val="20"/>
      <w:szCs w:val="20"/>
    </w:rPr>
  </w:style>
  <w:style w:type="paragraph" w:customStyle="1" w:styleId="xl67">
    <w:name w:val="xl67"/>
    <w:basedOn w:val="a"/>
    <w:rsid w:val="000570C4"/>
    <w:pPr>
      <w:widowControl/>
      <w:pBdr>
        <w:top w:val="single" w:sz="4" w:space="0" w:color="auto"/>
        <w:left w:val="single" w:sz="4" w:space="0" w:color="auto"/>
        <w:bottom w:val="single" w:sz="4" w:space="0" w:color="auto"/>
      </w:pBdr>
      <w:shd w:val="clear" w:color="000000" w:fill="C0504D"/>
      <w:spacing w:before="100" w:beforeAutospacing="1" w:after="100" w:afterAutospacing="1"/>
      <w:jc w:val="center"/>
      <w:textAlignment w:val="center"/>
    </w:pPr>
    <w:rPr>
      <w:rFonts w:ascii="宋体" w:eastAsia="宋体" w:hAnsi="宋体" w:cs="宋体"/>
      <w:b/>
      <w:bCs/>
      <w:color w:val="FFFFFF"/>
      <w:kern w:val="0"/>
      <w:sz w:val="20"/>
      <w:szCs w:val="20"/>
    </w:rPr>
  </w:style>
  <w:style w:type="paragraph" w:customStyle="1" w:styleId="xl68">
    <w:name w:val="xl68"/>
    <w:basedOn w:val="a"/>
    <w:rsid w:val="000570C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69">
    <w:name w:val="xl69"/>
    <w:basedOn w:val="a"/>
    <w:rsid w:val="000570C4"/>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character" w:customStyle="1" w:styleId="22">
    <w:name w:val="未处理的提及2"/>
    <w:basedOn w:val="a0"/>
    <w:uiPriority w:val="99"/>
    <w:semiHidden/>
    <w:unhideWhenUsed/>
    <w:rsid w:val="000570C4"/>
    <w:rPr>
      <w:color w:val="605E5C"/>
      <w:shd w:val="clear" w:color="auto" w:fill="E1DFDD"/>
    </w:rPr>
  </w:style>
  <w:style w:type="table" w:customStyle="1" w:styleId="15">
    <w:name w:val="网格型浅色1"/>
    <w:basedOn w:val="a1"/>
    <w:uiPriority w:val="40"/>
    <w:rsid w:val="00335F5B"/>
    <w:rPr>
      <w:rFonts w:ascii="Calibri" w:hAnsi="Calibri" w:cs="宋体"/>
      <w:kern w:val="2"/>
      <w:sz w:val="21"/>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2">
    <w:name w:val="FollowedHyperlink"/>
    <w:basedOn w:val="a0"/>
    <w:uiPriority w:val="99"/>
    <w:rsid w:val="00335F5B"/>
    <w:rPr>
      <w:color w:val="800080"/>
      <w:u w:val="single"/>
    </w:rPr>
  </w:style>
  <w:style w:type="paragraph" w:styleId="TOC">
    <w:name w:val="TOC Heading"/>
    <w:basedOn w:val="1"/>
    <w:next w:val="a"/>
    <w:uiPriority w:val="39"/>
    <w:qFormat/>
    <w:rsid w:val="00335F5B"/>
    <w:pPr>
      <w:widowControl/>
      <w:spacing w:before="240" w:after="0" w:line="259" w:lineRule="auto"/>
      <w:jc w:val="left"/>
      <w:outlineLvl w:val="9"/>
    </w:pPr>
    <w:rPr>
      <w:rFonts w:ascii="Cambria" w:hAnsi="Cambria" w:cs="宋体"/>
      <w:b w:val="0"/>
      <w:bCs w:val="0"/>
      <w:color w:val="365F91"/>
      <w:kern w:val="0"/>
      <w:sz w:val="32"/>
      <w:szCs w:val="32"/>
    </w:rPr>
  </w:style>
  <w:style w:type="table" w:customStyle="1" w:styleId="4-21">
    <w:name w:val="网格表 4 - 着色 21"/>
    <w:basedOn w:val="a1"/>
    <w:uiPriority w:val="49"/>
    <w:rsid w:val="00335F5B"/>
    <w:rPr>
      <w:rFonts w:ascii="Calibri" w:hAnsi="Calibri" w:cs="宋体"/>
      <w:kern w:val="2"/>
      <w:sz w:val="21"/>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16">
    <w:name w:val="1级"/>
    <w:basedOn w:val="afd"/>
    <w:link w:val="1Char0"/>
    <w:qFormat/>
    <w:rsid w:val="00335F5B"/>
    <w:pPr>
      <w:spacing w:line="440" w:lineRule="exact"/>
      <w:ind w:leftChars="-189" w:left="567" w:hangingChars="343" w:hanging="964"/>
      <w:jc w:val="left"/>
      <w:outlineLvl w:val="0"/>
    </w:pPr>
    <w:rPr>
      <w:rFonts w:ascii="方正兰亭中黑简体" w:eastAsia="方正兰亭中黑简体" w:hAnsi="微软雅黑" w:cs="宋体"/>
      <w:b/>
      <w:bCs/>
      <w:color w:val="000000"/>
      <w:kern w:val="0"/>
      <w:sz w:val="28"/>
      <w:szCs w:val="21"/>
    </w:rPr>
  </w:style>
  <w:style w:type="character" w:customStyle="1" w:styleId="1Char0">
    <w:name w:val="1级 Char"/>
    <w:basedOn w:val="afe"/>
    <w:link w:val="16"/>
    <w:rsid w:val="00335F5B"/>
    <w:rPr>
      <w:rFonts w:ascii="方正兰亭中黑简体" w:eastAsia="方正兰亭中黑简体" w:hAnsi="微软雅黑" w:cs="宋体"/>
      <w:b/>
      <w:bCs/>
      <w:color w:val="000000"/>
      <w:sz w:val="28"/>
      <w:szCs w:val="21"/>
    </w:rPr>
  </w:style>
  <w:style w:type="character" w:customStyle="1" w:styleId="1Char">
    <w:name w:val="正文1 Char"/>
    <w:basedOn w:val="a0"/>
    <w:link w:val="13"/>
    <w:rsid w:val="00335F5B"/>
    <w:rPr>
      <w:rFonts w:ascii="华文细黑" w:eastAsia="华文细黑" w:hAnsi="华文细黑"/>
      <w:color w:val="000000"/>
      <w:kern w:val="2"/>
      <w:sz w:val="21"/>
    </w:rPr>
  </w:style>
  <w:style w:type="table" w:customStyle="1" w:styleId="23">
    <w:name w:val="网格型浅色2"/>
    <w:basedOn w:val="a1"/>
    <w:uiPriority w:val="40"/>
    <w:rsid w:val="00335F5B"/>
    <w:rPr>
      <w:rFonts w:ascii="Calibri" w:hAnsi="Calibri" w:cs="宋体"/>
      <w:kern w:val="2"/>
      <w:sz w:val="21"/>
      <w:szCs w:val="22"/>
    </w:rPr>
    <w:tblPr>
      <w:tblBorders>
        <w:top w:val="single" w:sz="4" w:space="0" w:color="80C687"/>
        <w:left w:val="single" w:sz="4" w:space="0" w:color="80C687"/>
        <w:bottom w:val="single" w:sz="4" w:space="0" w:color="80C687"/>
        <w:right w:val="single" w:sz="4" w:space="0" w:color="80C687"/>
        <w:insideH w:val="single" w:sz="4" w:space="0" w:color="80C687"/>
        <w:insideV w:val="single" w:sz="4" w:space="0" w:color="80C687"/>
      </w:tblBorders>
    </w:tblPr>
  </w:style>
  <w:style w:type="table" w:styleId="1-2">
    <w:name w:val="Medium Shading 1 Accent 2"/>
    <w:basedOn w:val="a1"/>
    <w:uiPriority w:val="63"/>
    <w:rsid w:val="00335F5B"/>
    <w:rPr>
      <w:rFonts w:ascii="Calibri" w:hAnsi="Calibri" w:cs="宋体"/>
      <w:kern w:val="2"/>
      <w:sz w:val="21"/>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0">
    <w:name w:val="Light List Accent 2"/>
    <w:basedOn w:val="a1"/>
    <w:uiPriority w:val="61"/>
    <w:rsid w:val="00335F5B"/>
    <w:rPr>
      <w:rFonts w:ascii="Calibri" w:hAnsi="Calibri" w:cs="宋体"/>
      <w:kern w:val="2"/>
      <w:sz w:val="21"/>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01">
    <w:name w:val="0正分"/>
    <w:basedOn w:val="a"/>
    <w:link w:val="0Char"/>
    <w:qFormat/>
    <w:rsid w:val="005C20CB"/>
    <w:pPr>
      <w:spacing w:line="400" w:lineRule="exact"/>
      <w:ind w:firstLineChars="200" w:firstLine="420"/>
    </w:pPr>
    <w:rPr>
      <w:rFonts w:ascii="宋体" w:eastAsia="宋体" w:hAnsi="宋体"/>
    </w:rPr>
  </w:style>
  <w:style w:type="character" w:customStyle="1" w:styleId="0Char">
    <w:name w:val="0正分 Char"/>
    <w:basedOn w:val="a0"/>
    <w:link w:val="01"/>
    <w:rsid w:val="005C20CB"/>
    <w:rPr>
      <w:rFonts w:ascii="宋体" w:hAnsi="宋体" w:cstheme="minorBidi"/>
      <w:kern w:val="2"/>
      <w:sz w:val="21"/>
      <w:szCs w:val="22"/>
    </w:rPr>
  </w:style>
  <w:style w:type="table" w:customStyle="1" w:styleId="-11">
    <w:name w:val="浅色底纹 - 强调文字颜色 11"/>
    <w:basedOn w:val="a1"/>
    <w:uiPriority w:val="60"/>
    <w:rsid w:val="006D7011"/>
    <w:rPr>
      <w:rFonts w:asciiTheme="minorHAnsi" w:eastAsiaTheme="minorEastAsia" w:hAnsiTheme="minorHAnsi" w:cstheme="minorBidi"/>
      <w:color w:val="365F91" w:themeColor="accent1" w:themeShade="BF"/>
      <w:kern w:val="2"/>
      <w:sz w:val="21"/>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2">
    <w:name w:val="0简单二级"/>
    <w:basedOn w:val="01"/>
    <w:link w:val="0Char0"/>
    <w:qFormat/>
    <w:rsid w:val="00CA1104"/>
    <w:pPr>
      <w:ind w:firstLine="422"/>
      <w:outlineLvl w:val="1"/>
    </w:pPr>
    <w:rPr>
      <w:b/>
    </w:rPr>
  </w:style>
  <w:style w:type="character" w:customStyle="1" w:styleId="0Char0">
    <w:name w:val="0简单二级 Char"/>
    <w:basedOn w:val="0Char"/>
    <w:link w:val="02"/>
    <w:rsid w:val="00CA1104"/>
    <w:rPr>
      <w:rFonts w:ascii="宋体" w:hAnsi="宋体" w:cstheme="minorBidi"/>
      <w:b/>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0787">
      <w:bodyDiv w:val="1"/>
      <w:marLeft w:val="0"/>
      <w:marRight w:val="0"/>
      <w:marTop w:val="0"/>
      <w:marBottom w:val="0"/>
      <w:divBdr>
        <w:top w:val="none" w:sz="0" w:space="0" w:color="auto"/>
        <w:left w:val="none" w:sz="0" w:space="0" w:color="auto"/>
        <w:bottom w:val="none" w:sz="0" w:space="0" w:color="auto"/>
        <w:right w:val="none" w:sz="0" w:space="0" w:color="auto"/>
      </w:divBdr>
    </w:div>
    <w:div w:id="29913823">
      <w:bodyDiv w:val="1"/>
      <w:marLeft w:val="0"/>
      <w:marRight w:val="0"/>
      <w:marTop w:val="0"/>
      <w:marBottom w:val="0"/>
      <w:divBdr>
        <w:top w:val="none" w:sz="0" w:space="0" w:color="auto"/>
        <w:left w:val="none" w:sz="0" w:space="0" w:color="auto"/>
        <w:bottom w:val="none" w:sz="0" w:space="0" w:color="auto"/>
        <w:right w:val="none" w:sz="0" w:space="0" w:color="auto"/>
      </w:divBdr>
    </w:div>
    <w:div w:id="85343231">
      <w:bodyDiv w:val="1"/>
      <w:marLeft w:val="0"/>
      <w:marRight w:val="0"/>
      <w:marTop w:val="0"/>
      <w:marBottom w:val="0"/>
      <w:divBdr>
        <w:top w:val="none" w:sz="0" w:space="0" w:color="auto"/>
        <w:left w:val="none" w:sz="0" w:space="0" w:color="auto"/>
        <w:bottom w:val="none" w:sz="0" w:space="0" w:color="auto"/>
        <w:right w:val="none" w:sz="0" w:space="0" w:color="auto"/>
      </w:divBdr>
    </w:div>
    <w:div w:id="88429152">
      <w:bodyDiv w:val="1"/>
      <w:marLeft w:val="0"/>
      <w:marRight w:val="0"/>
      <w:marTop w:val="0"/>
      <w:marBottom w:val="0"/>
      <w:divBdr>
        <w:top w:val="none" w:sz="0" w:space="0" w:color="auto"/>
        <w:left w:val="none" w:sz="0" w:space="0" w:color="auto"/>
        <w:bottom w:val="none" w:sz="0" w:space="0" w:color="auto"/>
        <w:right w:val="none" w:sz="0" w:space="0" w:color="auto"/>
      </w:divBdr>
    </w:div>
    <w:div w:id="92631852">
      <w:bodyDiv w:val="1"/>
      <w:marLeft w:val="0"/>
      <w:marRight w:val="0"/>
      <w:marTop w:val="0"/>
      <w:marBottom w:val="0"/>
      <w:divBdr>
        <w:top w:val="none" w:sz="0" w:space="0" w:color="auto"/>
        <w:left w:val="none" w:sz="0" w:space="0" w:color="auto"/>
        <w:bottom w:val="none" w:sz="0" w:space="0" w:color="auto"/>
        <w:right w:val="none" w:sz="0" w:space="0" w:color="auto"/>
      </w:divBdr>
    </w:div>
    <w:div w:id="145779326">
      <w:bodyDiv w:val="1"/>
      <w:marLeft w:val="0"/>
      <w:marRight w:val="0"/>
      <w:marTop w:val="0"/>
      <w:marBottom w:val="0"/>
      <w:divBdr>
        <w:top w:val="none" w:sz="0" w:space="0" w:color="auto"/>
        <w:left w:val="none" w:sz="0" w:space="0" w:color="auto"/>
        <w:bottom w:val="none" w:sz="0" w:space="0" w:color="auto"/>
        <w:right w:val="none" w:sz="0" w:space="0" w:color="auto"/>
      </w:divBdr>
    </w:div>
    <w:div w:id="170603243">
      <w:bodyDiv w:val="1"/>
      <w:marLeft w:val="0"/>
      <w:marRight w:val="0"/>
      <w:marTop w:val="0"/>
      <w:marBottom w:val="0"/>
      <w:divBdr>
        <w:top w:val="none" w:sz="0" w:space="0" w:color="auto"/>
        <w:left w:val="none" w:sz="0" w:space="0" w:color="auto"/>
        <w:bottom w:val="none" w:sz="0" w:space="0" w:color="auto"/>
        <w:right w:val="none" w:sz="0" w:space="0" w:color="auto"/>
      </w:divBdr>
    </w:div>
    <w:div w:id="244001079">
      <w:bodyDiv w:val="1"/>
      <w:marLeft w:val="0"/>
      <w:marRight w:val="0"/>
      <w:marTop w:val="0"/>
      <w:marBottom w:val="0"/>
      <w:divBdr>
        <w:top w:val="none" w:sz="0" w:space="0" w:color="auto"/>
        <w:left w:val="none" w:sz="0" w:space="0" w:color="auto"/>
        <w:bottom w:val="none" w:sz="0" w:space="0" w:color="auto"/>
        <w:right w:val="none" w:sz="0" w:space="0" w:color="auto"/>
      </w:divBdr>
    </w:div>
    <w:div w:id="244463444">
      <w:bodyDiv w:val="1"/>
      <w:marLeft w:val="0"/>
      <w:marRight w:val="0"/>
      <w:marTop w:val="0"/>
      <w:marBottom w:val="0"/>
      <w:divBdr>
        <w:top w:val="none" w:sz="0" w:space="0" w:color="auto"/>
        <w:left w:val="none" w:sz="0" w:space="0" w:color="auto"/>
        <w:bottom w:val="none" w:sz="0" w:space="0" w:color="auto"/>
        <w:right w:val="none" w:sz="0" w:space="0" w:color="auto"/>
      </w:divBdr>
    </w:div>
    <w:div w:id="287785731">
      <w:bodyDiv w:val="1"/>
      <w:marLeft w:val="0"/>
      <w:marRight w:val="0"/>
      <w:marTop w:val="0"/>
      <w:marBottom w:val="0"/>
      <w:divBdr>
        <w:top w:val="none" w:sz="0" w:space="0" w:color="auto"/>
        <w:left w:val="none" w:sz="0" w:space="0" w:color="auto"/>
        <w:bottom w:val="none" w:sz="0" w:space="0" w:color="auto"/>
        <w:right w:val="none" w:sz="0" w:space="0" w:color="auto"/>
      </w:divBdr>
    </w:div>
    <w:div w:id="383918210">
      <w:bodyDiv w:val="1"/>
      <w:marLeft w:val="0"/>
      <w:marRight w:val="0"/>
      <w:marTop w:val="0"/>
      <w:marBottom w:val="0"/>
      <w:divBdr>
        <w:top w:val="none" w:sz="0" w:space="0" w:color="auto"/>
        <w:left w:val="none" w:sz="0" w:space="0" w:color="auto"/>
        <w:bottom w:val="none" w:sz="0" w:space="0" w:color="auto"/>
        <w:right w:val="none" w:sz="0" w:space="0" w:color="auto"/>
      </w:divBdr>
    </w:div>
    <w:div w:id="392125257">
      <w:bodyDiv w:val="1"/>
      <w:marLeft w:val="0"/>
      <w:marRight w:val="0"/>
      <w:marTop w:val="0"/>
      <w:marBottom w:val="0"/>
      <w:divBdr>
        <w:top w:val="none" w:sz="0" w:space="0" w:color="auto"/>
        <w:left w:val="none" w:sz="0" w:space="0" w:color="auto"/>
        <w:bottom w:val="none" w:sz="0" w:space="0" w:color="auto"/>
        <w:right w:val="none" w:sz="0" w:space="0" w:color="auto"/>
      </w:divBdr>
    </w:div>
    <w:div w:id="452990153">
      <w:bodyDiv w:val="1"/>
      <w:marLeft w:val="0"/>
      <w:marRight w:val="0"/>
      <w:marTop w:val="0"/>
      <w:marBottom w:val="0"/>
      <w:divBdr>
        <w:top w:val="none" w:sz="0" w:space="0" w:color="auto"/>
        <w:left w:val="none" w:sz="0" w:space="0" w:color="auto"/>
        <w:bottom w:val="none" w:sz="0" w:space="0" w:color="auto"/>
        <w:right w:val="none" w:sz="0" w:space="0" w:color="auto"/>
      </w:divBdr>
    </w:div>
    <w:div w:id="504175932">
      <w:bodyDiv w:val="1"/>
      <w:marLeft w:val="0"/>
      <w:marRight w:val="0"/>
      <w:marTop w:val="0"/>
      <w:marBottom w:val="0"/>
      <w:divBdr>
        <w:top w:val="none" w:sz="0" w:space="0" w:color="auto"/>
        <w:left w:val="none" w:sz="0" w:space="0" w:color="auto"/>
        <w:bottom w:val="none" w:sz="0" w:space="0" w:color="auto"/>
        <w:right w:val="none" w:sz="0" w:space="0" w:color="auto"/>
      </w:divBdr>
    </w:div>
    <w:div w:id="510605387">
      <w:bodyDiv w:val="1"/>
      <w:marLeft w:val="0"/>
      <w:marRight w:val="0"/>
      <w:marTop w:val="0"/>
      <w:marBottom w:val="0"/>
      <w:divBdr>
        <w:top w:val="none" w:sz="0" w:space="0" w:color="auto"/>
        <w:left w:val="none" w:sz="0" w:space="0" w:color="auto"/>
        <w:bottom w:val="none" w:sz="0" w:space="0" w:color="auto"/>
        <w:right w:val="none" w:sz="0" w:space="0" w:color="auto"/>
      </w:divBdr>
    </w:div>
    <w:div w:id="515315824">
      <w:bodyDiv w:val="1"/>
      <w:marLeft w:val="0"/>
      <w:marRight w:val="0"/>
      <w:marTop w:val="0"/>
      <w:marBottom w:val="0"/>
      <w:divBdr>
        <w:top w:val="none" w:sz="0" w:space="0" w:color="auto"/>
        <w:left w:val="none" w:sz="0" w:space="0" w:color="auto"/>
        <w:bottom w:val="none" w:sz="0" w:space="0" w:color="auto"/>
        <w:right w:val="none" w:sz="0" w:space="0" w:color="auto"/>
      </w:divBdr>
    </w:div>
    <w:div w:id="571933856">
      <w:bodyDiv w:val="1"/>
      <w:marLeft w:val="0"/>
      <w:marRight w:val="0"/>
      <w:marTop w:val="0"/>
      <w:marBottom w:val="0"/>
      <w:divBdr>
        <w:top w:val="none" w:sz="0" w:space="0" w:color="auto"/>
        <w:left w:val="none" w:sz="0" w:space="0" w:color="auto"/>
        <w:bottom w:val="none" w:sz="0" w:space="0" w:color="auto"/>
        <w:right w:val="none" w:sz="0" w:space="0" w:color="auto"/>
      </w:divBdr>
    </w:div>
    <w:div w:id="601576203">
      <w:bodyDiv w:val="1"/>
      <w:marLeft w:val="0"/>
      <w:marRight w:val="0"/>
      <w:marTop w:val="0"/>
      <w:marBottom w:val="0"/>
      <w:divBdr>
        <w:top w:val="none" w:sz="0" w:space="0" w:color="auto"/>
        <w:left w:val="none" w:sz="0" w:space="0" w:color="auto"/>
        <w:bottom w:val="none" w:sz="0" w:space="0" w:color="auto"/>
        <w:right w:val="none" w:sz="0" w:space="0" w:color="auto"/>
      </w:divBdr>
    </w:div>
    <w:div w:id="627974967">
      <w:bodyDiv w:val="1"/>
      <w:marLeft w:val="0"/>
      <w:marRight w:val="0"/>
      <w:marTop w:val="0"/>
      <w:marBottom w:val="0"/>
      <w:divBdr>
        <w:top w:val="none" w:sz="0" w:space="0" w:color="auto"/>
        <w:left w:val="none" w:sz="0" w:space="0" w:color="auto"/>
        <w:bottom w:val="none" w:sz="0" w:space="0" w:color="auto"/>
        <w:right w:val="none" w:sz="0" w:space="0" w:color="auto"/>
      </w:divBdr>
    </w:div>
    <w:div w:id="660275320">
      <w:bodyDiv w:val="1"/>
      <w:marLeft w:val="0"/>
      <w:marRight w:val="0"/>
      <w:marTop w:val="0"/>
      <w:marBottom w:val="0"/>
      <w:divBdr>
        <w:top w:val="none" w:sz="0" w:space="0" w:color="auto"/>
        <w:left w:val="none" w:sz="0" w:space="0" w:color="auto"/>
        <w:bottom w:val="none" w:sz="0" w:space="0" w:color="auto"/>
        <w:right w:val="none" w:sz="0" w:space="0" w:color="auto"/>
      </w:divBdr>
    </w:div>
    <w:div w:id="668557417">
      <w:bodyDiv w:val="1"/>
      <w:marLeft w:val="0"/>
      <w:marRight w:val="0"/>
      <w:marTop w:val="0"/>
      <w:marBottom w:val="0"/>
      <w:divBdr>
        <w:top w:val="none" w:sz="0" w:space="0" w:color="auto"/>
        <w:left w:val="none" w:sz="0" w:space="0" w:color="auto"/>
        <w:bottom w:val="none" w:sz="0" w:space="0" w:color="auto"/>
        <w:right w:val="none" w:sz="0" w:space="0" w:color="auto"/>
      </w:divBdr>
    </w:div>
    <w:div w:id="668943511">
      <w:bodyDiv w:val="1"/>
      <w:marLeft w:val="0"/>
      <w:marRight w:val="0"/>
      <w:marTop w:val="0"/>
      <w:marBottom w:val="0"/>
      <w:divBdr>
        <w:top w:val="none" w:sz="0" w:space="0" w:color="auto"/>
        <w:left w:val="none" w:sz="0" w:space="0" w:color="auto"/>
        <w:bottom w:val="none" w:sz="0" w:space="0" w:color="auto"/>
        <w:right w:val="none" w:sz="0" w:space="0" w:color="auto"/>
      </w:divBdr>
    </w:div>
    <w:div w:id="677922412">
      <w:bodyDiv w:val="1"/>
      <w:marLeft w:val="0"/>
      <w:marRight w:val="0"/>
      <w:marTop w:val="0"/>
      <w:marBottom w:val="0"/>
      <w:divBdr>
        <w:top w:val="none" w:sz="0" w:space="0" w:color="auto"/>
        <w:left w:val="none" w:sz="0" w:space="0" w:color="auto"/>
        <w:bottom w:val="none" w:sz="0" w:space="0" w:color="auto"/>
        <w:right w:val="none" w:sz="0" w:space="0" w:color="auto"/>
      </w:divBdr>
    </w:div>
    <w:div w:id="684406718">
      <w:bodyDiv w:val="1"/>
      <w:marLeft w:val="0"/>
      <w:marRight w:val="0"/>
      <w:marTop w:val="0"/>
      <w:marBottom w:val="0"/>
      <w:divBdr>
        <w:top w:val="none" w:sz="0" w:space="0" w:color="auto"/>
        <w:left w:val="none" w:sz="0" w:space="0" w:color="auto"/>
        <w:bottom w:val="none" w:sz="0" w:space="0" w:color="auto"/>
        <w:right w:val="none" w:sz="0" w:space="0" w:color="auto"/>
      </w:divBdr>
    </w:div>
    <w:div w:id="712778851">
      <w:bodyDiv w:val="1"/>
      <w:marLeft w:val="0"/>
      <w:marRight w:val="0"/>
      <w:marTop w:val="0"/>
      <w:marBottom w:val="0"/>
      <w:divBdr>
        <w:top w:val="none" w:sz="0" w:space="0" w:color="auto"/>
        <w:left w:val="none" w:sz="0" w:space="0" w:color="auto"/>
        <w:bottom w:val="none" w:sz="0" w:space="0" w:color="auto"/>
        <w:right w:val="none" w:sz="0" w:space="0" w:color="auto"/>
      </w:divBdr>
    </w:div>
    <w:div w:id="732697623">
      <w:bodyDiv w:val="1"/>
      <w:marLeft w:val="0"/>
      <w:marRight w:val="0"/>
      <w:marTop w:val="0"/>
      <w:marBottom w:val="0"/>
      <w:divBdr>
        <w:top w:val="none" w:sz="0" w:space="0" w:color="auto"/>
        <w:left w:val="none" w:sz="0" w:space="0" w:color="auto"/>
        <w:bottom w:val="none" w:sz="0" w:space="0" w:color="auto"/>
        <w:right w:val="none" w:sz="0" w:space="0" w:color="auto"/>
      </w:divBdr>
    </w:div>
    <w:div w:id="736049924">
      <w:bodyDiv w:val="1"/>
      <w:marLeft w:val="0"/>
      <w:marRight w:val="0"/>
      <w:marTop w:val="0"/>
      <w:marBottom w:val="0"/>
      <w:divBdr>
        <w:top w:val="none" w:sz="0" w:space="0" w:color="auto"/>
        <w:left w:val="none" w:sz="0" w:space="0" w:color="auto"/>
        <w:bottom w:val="none" w:sz="0" w:space="0" w:color="auto"/>
        <w:right w:val="none" w:sz="0" w:space="0" w:color="auto"/>
      </w:divBdr>
    </w:div>
    <w:div w:id="738985867">
      <w:bodyDiv w:val="1"/>
      <w:marLeft w:val="0"/>
      <w:marRight w:val="0"/>
      <w:marTop w:val="0"/>
      <w:marBottom w:val="0"/>
      <w:divBdr>
        <w:top w:val="none" w:sz="0" w:space="0" w:color="auto"/>
        <w:left w:val="none" w:sz="0" w:space="0" w:color="auto"/>
        <w:bottom w:val="none" w:sz="0" w:space="0" w:color="auto"/>
        <w:right w:val="none" w:sz="0" w:space="0" w:color="auto"/>
      </w:divBdr>
    </w:div>
    <w:div w:id="807941895">
      <w:bodyDiv w:val="1"/>
      <w:marLeft w:val="0"/>
      <w:marRight w:val="0"/>
      <w:marTop w:val="0"/>
      <w:marBottom w:val="0"/>
      <w:divBdr>
        <w:top w:val="none" w:sz="0" w:space="0" w:color="auto"/>
        <w:left w:val="none" w:sz="0" w:space="0" w:color="auto"/>
        <w:bottom w:val="none" w:sz="0" w:space="0" w:color="auto"/>
        <w:right w:val="none" w:sz="0" w:space="0" w:color="auto"/>
      </w:divBdr>
    </w:div>
    <w:div w:id="851409115">
      <w:bodyDiv w:val="1"/>
      <w:marLeft w:val="0"/>
      <w:marRight w:val="0"/>
      <w:marTop w:val="0"/>
      <w:marBottom w:val="0"/>
      <w:divBdr>
        <w:top w:val="none" w:sz="0" w:space="0" w:color="auto"/>
        <w:left w:val="none" w:sz="0" w:space="0" w:color="auto"/>
        <w:bottom w:val="none" w:sz="0" w:space="0" w:color="auto"/>
        <w:right w:val="none" w:sz="0" w:space="0" w:color="auto"/>
      </w:divBdr>
    </w:div>
    <w:div w:id="899171854">
      <w:bodyDiv w:val="1"/>
      <w:marLeft w:val="0"/>
      <w:marRight w:val="0"/>
      <w:marTop w:val="0"/>
      <w:marBottom w:val="0"/>
      <w:divBdr>
        <w:top w:val="none" w:sz="0" w:space="0" w:color="auto"/>
        <w:left w:val="none" w:sz="0" w:space="0" w:color="auto"/>
        <w:bottom w:val="none" w:sz="0" w:space="0" w:color="auto"/>
        <w:right w:val="none" w:sz="0" w:space="0" w:color="auto"/>
      </w:divBdr>
    </w:div>
    <w:div w:id="919367161">
      <w:bodyDiv w:val="1"/>
      <w:marLeft w:val="0"/>
      <w:marRight w:val="0"/>
      <w:marTop w:val="0"/>
      <w:marBottom w:val="0"/>
      <w:divBdr>
        <w:top w:val="none" w:sz="0" w:space="0" w:color="auto"/>
        <w:left w:val="none" w:sz="0" w:space="0" w:color="auto"/>
        <w:bottom w:val="none" w:sz="0" w:space="0" w:color="auto"/>
        <w:right w:val="none" w:sz="0" w:space="0" w:color="auto"/>
      </w:divBdr>
    </w:div>
    <w:div w:id="1057163785">
      <w:bodyDiv w:val="1"/>
      <w:marLeft w:val="0"/>
      <w:marRight w:val="0"/>
      <w:marTop w:val="0"/>
      <w:marBottom w:val="0"/>
      <w:divBdr>
        <w:top w:val="none" w:sz="0" w:space="0" w:color="auto"/>
        <w:left w:val="none" w:sz="0" w:space="0" w:color="auto"/>
        <w:bottom w:val="none" w:sz="0" w:space="0" w:color="auto"/>
        <w:right w:val="none" w:sz="0" w:space="0" w:color="auto"/>
      </w:divBdr>
    </w:div>
    <w:div w:id="1058044368">
      <w:bodyDiv w:val="1"/>
      <w:marLeft w:val="0"/>
      <w:marRight w:val="0"/>
      <w:marTop w:val="0"/>
      <w:marBottom w:val="0"/>
      <w:divBdr>
        <w:top w:val="none" w:sz="0" w:space="0" w:color="auto"/>
        <w:left w:val="none" w:sz="0" w:space="0" w:color="auto"/>
        <w:bottom w:val="none" w:sz="0" w:space="0" w:color="auto"/>
        <w:right w:val="none" w:sz="0" w:space="0" w:color="auto"/>
      </w:divBdr>
    </w:div>
    <w:div w:id="1058167751">
      <w:bodyDiv w:val="1"/>
      <w:marLeft w:val="0"/>
      <w:marRight w:val="0"/>
      <w:marTop w:val="0"/>
      <w:marBottom w:val="0"/>
      <w:divBdr>
        <w:top w:val="none" w:sz="0" w:space="0" w:color="auto"/>
        <w:left w:val="none" w:sz="0" w:space="0" w:color="auto"/>
        <w:bottom w:val="none" w:sz="0" w:space="0" w:color="auto"/>
        <w:right w:val="none" w:sz="0" w:space="0" w:color="auto"/>
      </w:divBdr>
    </w:div>
    <w:div w:id="1071542758">
      <w:bodyDiv w:val="1"/>
      <w:marLeft w:val="0"/>
      <w:marRight w:val="0"/>
      <w:marTop w:val="0"/>
      <w:marBottom w:val="0"/>
      <w:divBdr>
        <w:top w:val="none" w:sz="0" w:space="0" w:color="auto"/>
        <w:left w:val="none" w:sz="0" w:space="0" w:color="auto"/>
        <w:bottom w:val="none" w:sz="0" w:space="0" w:color="auto"/>
        <w:right w:val="none" w:sz="0" w:space="0" w:color="auto"/>
      </w:divBdr>
    </w:div>
    <w:div w:id="1079641237">
      <w:bodyDiv w:val="1"/>
      <w:marLeft w:val="0"/>
      <w:marRight w:val="0"/>
      <w:marTop w:val="0"/>
      <w:marBottom w:val="0"/>
      <w:divBdr>
        <w:top w:val="none" w:sz="0" w:space="0" w:color="auto"/>
        <w:left w:val="none" w:sz="0" w:space="0" w:color="auto"/>
        <w:bottom w:val="none" w:sz="0" w:space="0" w:color="auto"/>
        <w:right w:val="none" w:sz="0" w:space="0" w:color="auto"/>
      </w:divBdr>
    </w:div>
    <w:div w:id="1142383689">
      <w:bodyDiv w:val="1"/>
      <w:marLeft w:val="0"/>
      <w:marRight w:val="0"/>
      <w:marTop w:val="0"/>
      <w:marBottom w:val="0"/>
      <w:divBdr>
        <w:top w:val="none" w:sz="0" w:space="0" w:color="auto"/>
        <w:left w:val="none" w:sz="0" w:space="0" w:color="auto"/>
        <w:bottom w:val="none" w:sz="0" w:space="0" w:color="auto"/>
        <w:right w:val="none" w:sz="0" w:space="0" w:color="auto"/>
      </w:divBdr>
    </w:div>
    <w:div w:id="1155728105">
      <w:bodyDiv w:val="1"/>
      <w:marLeft w:val="0"/>
      <w:marRight w:val="0"/>
      <w:marTop w:val="0"/>
      <w:marBottom w:val="0"/>
      <w:divBdr>
        <w:top w:val="none" w:sz="0" w:space="0" w:color="auto"/>
        <w:left w:val="none" w:sz="0" w:space="0" w:color="auto"/>
        <w:bottom w:val="none" w:sz="0" w:space="0" w:color="auto"/>
        <w:right w:val="none" w:sz="0" w:space="0" w:color="auto"/>
      </w:divBdr>
    </w:div>
    <w:div w:id="1243904967">
      <w:bodyDiv w:val="1"/>
      <w:marLeft w:val="0"/>
      <w:marRight w:val="0"/>
      <w:marTop w:val="0"/>
      <w:marBottom w:val="0"/>
      <w:divBdr>
        <w:top w:val="none" w:sz="0" w:space="0" w:color="auto"/>
        <w:left w:val="none" w:sz="0" w:space="0" w:color="auto"/>
        <w:bottom w:val="none" w:sz="0" w:space="0" w:color="auto"/>
        <w:right w:val="none" w:sz="0" w:space="0" w:color="auto"/>
      </w:divBdr>
    </w:div>
    <w:div w:id="1248803080">
      <w:bodyDiv w:val="1"/>
      <w:marLeft w:val="0"/>
      <w:marRight w:val="0"/>
      <w:marTop w:val="0"/>
      <w:marBottom w:val="0"/>
      <w:divBdr>
        <w:top w:val="none" w:sz="0" w:space="0" w:color="auto"/>
        <w:left w:val="none" w:sz="0" w:space="0" w:color="auto"/>
        <w:bottom w:val="none" w:sz="0" w:space="0" w:color="auto"/>
        <w:right w:val="none" w:sz="0" w:space="0" w:color="auto"/>
      </w:divBdr>
    </w:div>
    <w:div w:id="1295479969">
      <w:bodyDiv w:val="1"/>
      <w:marLeft w:val="0"/>
      <w:marRight w:val="0"/>
      <w:marTop w:val="0"/>
      <w:marBottom w:val="0"/>
      <w:divBdr>
        <w:top w:val="none" w:sz="0" w:space="0" w:color="auto"/>
        <w:left w:val="none" w:sz="0" w:space="0" w:color="auto"/>
        <w:bottom w:val="none" w:sz="0" w:space="0" w:color="auto"/>
        <w:right w:val="none" w:sz="0" w:space="0" w:color="auto"/>
      </w:divBdr>
    </w:div>
    <w:div w:id="1308510959">
      <w:bodyDiv w:val="1"/>
      <w:marLeft w:val="0"/>
      <w:marRight w:val="0"/>
      <w:marTop w:val="0"/>
      <w:marBottom w:val="0"/>
      <w:divBdr>
        <w:top w:val="none" w:sz="0" w:space="0" w:color="auto"/>
        <w:left w:val="none" w:sz="0" w:space="0" w:color="auto"/>
        <w:bottom w:val="none" w:sz="0" w:space="0" w:color="auto"/>
        <w:right w:val="none" w:sz="0" w:space="0" w:color="auto"/>
      </w:divBdr>
    </w:div>
    <w:div w:id="1334067492">
      <w:bodyDiv w:val="1"/>
      <w:marLeft w:val="0"/>
      <w:marRight w:val="0"/>
      <w:marTop w:val="0"/>
      <w:marBottom w:val="0"/>
      <w:divBdr>
        <w:top w:val="none" w:sz="0" w:space="0" w:color="auto"/>
        <w:left w:val="none" w:sz="0" w:space="0" w:color="auto"/>
        <w:bottom w:val="none" w:sz="0" w:space="0" w:color="auto"/>
        <w:right w:val="none" w:sz="0" w:space="0" w:color="auto"/>
      </w:divBdr>
    </w:div>
    <w:div w:id="1546018360">
      <w:bodyDiv w:val="1"/>
      <w:marLeft w:val="0"/>
      <w:marRight w:val="0"/>
      <w:marTop w:val="0"/>
      <w:marBottom w:val="0"/>
      <w:divBdr>
        <w:top w:val="none" w:sz="0" w:space="0" w:color="auto"/>
        <w:left w:val="none" w:sz="0" w:space="0" w:color="auto"/>
        <w:bottom w:val="none" w:sz="0" w:space="0" w:color="auto"/>
        <w:right w:val="none" w:sz="0" w:space="0" w:color="auto"/>
      </w:divBdr>
    </w:div>
    <w:div w:id="1560554008">
      <w:bodyDiv w:val="1"/>
      <w:marLeft w:val="0"/>
      <w:marRight w:val="0"/>
      <w:marTop w:val="0"/>
      <w:marBottom w:val="0"/>
      <w:divBdr>
        <w:top w:val="none" w:sz="0" w:space="0" w:color="auto"/>
        <w:left w:val="none" w:sz="0" w:space="0" w:color="auto"/>
        <w:bottom w:val="none" w:sz="0" w:space="0" w:color="auto"/>
        <w:right w:val="none" w:sz="0" w:space="0" w:color="auto"/>
      </w:divBdr>
    </w:div>
    <w:div w:id="1581719713">
      <w:bodyDiv w:val="1"/>
      <w:marLeft w:val="0"/>
      <w:marRight w:val="0"/>
      <w:marTop w:val="0"/>
      <w:marBottom w:val="0"/>
      <w:divBdr>
        <w:top w:val="none" w:sz="0" w:space="0" w:color="auto"/>
        <w:left w:val="none" w:sz="0" w:space="0" w:color="auto"/>
        <w:bottom w:val="none" w:sz="0" w:space="0" w:color="auto"/>
        <w:right w:val="none" w:sz="0" w:space="0" w:color="auto"/>
      </w:divBdr>
    </w:div>
    <w:div w:id="1629167769">
      <w:bodyDiv w:val="1"/>
      <w:marLeft w:val="0"/>
      <w:marRight w:val="0"/>
      <w:marTop w:val="0"/>
      <w:marBottom w:val="0"/>
      <w:divBdr>
        <w:top w:val="none" w:sz="0" w:space="0" w:color="auto"/>
        <w:left w:val="none" w:sz="0" w:space="0" w:color="auto"/>
        <w:bottom w:val="none" w:sz="0" w:space="0" w:color="auto"/>
        <w:right w:val="none" w:sz="0" w:space="0" w:color="auto"/>
      </w:divBdr>
    </w:div>
    <w:div w:id="1638103297">
      <w:bodyDiv w:val="1"/>
      <w:marLeft w:val="0"/>
      <w:marRight w:val="0"/>
      <w:marTop w:val="0"/>
      <w:marBottom w:val="0"/>
      <w:divBdr>
        <w:top w:val="none" w:sz="0" w:space="0" w:color="auto"/>
        <w:left w:val="none" w:sz="0" w:space="0" w:color="auto"/>
        <w:bottom w:val="none" w:sz="0" w:space="0" w:color="auto"/>
        <w:right w:val="none" w:sz="0" w:space="0" w:color="auto"/>
      </w:divBdr>
    </w:div>
    <w:div w:id="1645157623">
      <w:bodyDiv w:val="1"/>
      <w:marLeft w:val="0"/>
      <w:marRight w:val="0"/>
      <w:marTop w:val="0"/>
      <w:marBottom w:val="0"/>
      <w:divBdr>
        <w:top w:val="none" w:sz="0" w:space="0" w:color="auto"/>
        <w:left w:val="none" w:sz="0" w:space="0" w:color="auto"/>
        <w:bottom w:val="none" w:sz="0" w:space="0" w:color="auto"/>
        <w:right w:val="none" w:sz="0" w:space="0" w:color="auto"/>
      </w:divBdr>
    </w:div>
    <w:div w:id="1665039919">
      <w:bodyDiv w:val="1"/>
      <w:marLeft w:val="0"/>
      <w:marRight w:val="0"/>
      <w:marTop w:val="0"/>
      <w:marBottom w:val="0"/>
      <w:divBdr>
        <w:top w:val="none" w:sz="0" w:space="0" w:color="auto"/>
        <w:left w:val="none" w:sz="0" w:space="0" w:color="auto"/>
        <w:bottom w:val="none" w:sz="0" w:space="0" w:color="auto"/>
        <w:right w:val="none" w:sz="0" w:space="0" w:color="auto"/>
      </w:divBdr>
    </w:div>
    <w:div w:id="1673607789">
      <w:bodyDiv w:val="1"/>
      <w:marLeft w:val="0"/>
      <w:marRight w:val="0"/>
      <w:marTop w:val="0"/>
      <w:marBottom w:val="0"/>
      <w:divBdr>
        <w:top w:val="none" w:sz="0" w:space="0" w:color="auto"/>
        <w:left w:val="none" w:sz="0" w:space="0" w:color="auto"/>
        <w:bottom w:val="none" w:sz="0" w:space="0" w:color="auto"/>
        <w:right w:val="none" w:sz="0" w:space="0" w:color="auto"/>
      </w:divBdr>
    </w:div>
    <w:div w:id="1716539420">
      <w:bodyDiv w:val="1"/>
      <w:marLeft w:val="0"/>
      <w:marRight w:val="0"/>
      <w:marTop w:val="0"/>
      <w:marBottom w:val="0"/>
      <w:divBdr>
        <w:top w:val="none" w:sz="0" w:space="0" w:color="auto"/>
        <w:left w:val="none" w:sz="0" w:space="0" w:color="auto"/>
        <w:bottom w:val="none" w:sz="0" w:space="0" w:color="auto"/>
        <w:right w:val="none" w:sz="0" w:space="0" w:color="auto"/>
      </w:divBdr>
    </w:div>
    <w:div w:id="1758018087">
      <w:bodyDiv w:val="1"/>
      <w:marLeft w:val="0"/>
      <w:marRight w:val="0"/>
      <w:marTop w:val="0"/>
      <w:marBottom w:val="0"/>
      <w:divBdr>
        <w:top w:val="none" w:sz="0" w:space="0" w:color="auto"/>
        <w:left w:val="none" w:sz="0" w:space="0" w:color="auto"/>
        <w:bottom w:val="none" w:sz="0" w:space="0" w:color="auto"/>
        <w:right w:val="none" w:sz="0" w:space="0" w:color="auto"/>
      </w:divBdr>
    </w:div>
    <w:div w:id="1765371484">
      <w:bodyDiv w:val="1"/>
      <w:marLeft w:val="0"/>
      <w:marRight w:val="0"/>
      <w:marTop w:val="0"/>
      <w:marBottom w:val="0"/>
      <w:divBdr>
        <w:top w:val="none" w:sz="0" w:space="0" w:color="auto"/>
        <w:left w:val="none" w:sz="0" w:space="0" w:color="auto"/>
        <w:bottom w:val="none" w:sz="0" w:space="0" w:color="auto"/>
        <w:right w:val="none" w:sz="0" w:space="0" w:color="auto"/>
      </w:divBdr>
    </w:div>
    <w:div w:id="1766027726">
      <w:bodyDiv w:val="1"/>
      <w:marLeft w:val="0"/>
      <w:marRight w:val="0"/>
      <w:marTop w:val="0"/>
      <w:marBottom w:val="0"/>
      <w:divBdr>
        <w:top w:val="none" w:sz="0" w:space="0" w:color="auto"/>
        <w:left w:val="none" w:sz="0" w:space="0" w:color="auto"/>
        <w:bottom w:val="none" w:sz="0" w:space="0" w:color="auto"/>
        <w:right w:val="none" w:sz="0" w:space="0" w:color="auto"/>
      </w:divBdr>
    </w:div>
    <w:div w:id="2027906399">
      <w:bodyDiv w:val="1"/>
      <w:marLeft w:val="0"/>
      <w:marRight w:val="0"/>
      <w:marTop w:val="0"/>
      <w:marBottom w:val="0"/>
      <w:divBdr>
        <w:top w:val="none" w:sz="0" w:space="0" w:color="auto"/>
        <w:left w:val="none" w:sz="0" w:space="0" w:color="auto"/>
        <w:bottom w:val="none" w:sz="0" w:space="0" w:color="auto"/>
        <w:right w:val="none" w:sz="0" w:space="0" w:color="auto"/>
      </w:divBdr>
    </w:div>
    <w:div w:id="2069841380">
      <w:bodyDiv w:val="1"/>
      <w:marLeft w:val="0"/>
      <w:marRight w:val="0"/>
      <w:marTop w:val="0"/>
      <w:marBottom w:val="0"/>
      <w:divBdr>
        <w:top w:val="none" w:sz="0" w:space="0" w:color="auto"/>
        <w:left w:val="none" w:sz="0" w:space="0" w:color="auto"/>
        <w:bottom w:val="none" w:sz="0" w:space="0" w:color="auto"/>
        <w:right w:val="none" w:sz="0" w:space="0" w:color="auto"/>
      </w:divBdr>
    </w:div>
    <w:div w:id="2080059743">
      <w:bodyDiv w:val="1"/>
      <w:marLeft w:val="0"/>
      <w:marRight w:val="0"/>
      <w:marTop w:val="0"/>
      <w:marBottom w:val="0"/>
      <w:divBdr>
        <w:top w:val="none" w:sz="0" w:space="0" w:color="auto"/>
        <w:left w:val="none" w:sz="0" w:space="0" w:color="auto"/>
        <w:bottom w:val="none" w:sz="0" w:space="0" w:color="auto"/>
        <w:right w:val="none" w:sz="0" w:space="0" w:color="auto"/>
      </w:divBdr>
    </w:div>
    <w:div w:id="2119517816">
      <w:bodyDiv w:val="1"/>
      <w:marLeft w:val="0"/>
      <w:marRight w:val="0"/>
      <w:marTop w:val="0"/>
      <w:marBottom w:val="0"/>
      <w:divBdr>
        <w:top w:val="none" w:sz="0" w:space="0" w:color="auto"/>
        <w:left w:val="none" w:sz="0" w:space="0" w:color="auto"/>
        <w:bottom w:val="none" w:sz="0" w:space="0" w:color="auto"/>
        <w:right w:val="none" w:sz="0" w:space="0" w:color="auto"/>
      </w:divBdr>
    </w:div>
    <w:div w:id="2123651332">
      <w:bodyDiv w:val="1"/>
      <w:marLeft w:val="0"/>
      <w:marRight w:val="0"/>
      <w:marTop w:val="0"/>
      <w:marBottom w:val="0"/>
      <w:divBdr>
        <w:top w:val="none" w:sz="0" w:space="0" w:color="auto"/>
        <w:left w:val="none" w:sz="0" w:space="0" w:color="auto"/>
        <w:bottom w:val="none" w:sz="0" w:space="0" w:color="auto"/>
        <w:right w:val="none" w:sz="0" w:space="0" w:color="auto"/>
      </w:divBdr>
    </w:div>
    <w:div w:id="2144226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G:\2017-7-3\E&#30424;\&#39532;&#21315;&#37324;\11-&#23395;&#25253;&#24180;&#25253;&#21644;&#19987;&#39064;\2023-2-9&#20856;&#22411;&#22478;&#24066;&#24211;&#23384;&#21387;&#21147;&#25506;&#26512;\&#24211;&#233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2017-7-3\E&#30424;\&#39532;&#21315;&#37324;\11-&#23395;&#25253;&#24180;&#25253;&#21644;&#19987;&#39064;\2023-2-9&#20856;&#22411;&#22478;&#24066;&#24211;&#23384;&#21387;&#21147;&#25506;&#26512;\&#24211;&#23384;0228&#20462;&#274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017-7-3\E&#30424;\&#39532;&#21315;&#37324;\11-&#23395;&#25253;&#24180;&#25253;&#21644;&#19987;&#39064;\2023-2-9&#20856;&#22411;&#22478;&#24066;&#24211;&#23384;&#21387;&#21147;&#25506;&#26512;\&#24211;&#23384;0228&#20462;&#274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2017-7-3\E&#30424;\&#39532;&#21315;&#37324;\11-&#23395;&#25253;&#24180;&#25253;&#21644;&#19987;&#39064;\2023-2-9&#20856;&#22411;&#22478;&#24066;&#24211;&#23384;&#21387;&#21147;&#25506;&#26512;\&#24211;&#23384;0228&#20462;&#274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2017-7-3\E&#30424;\&#39532;&#21315;&#37324;\11-&#23395;&#25253;&#24180;&#25253;&#21644;&#19987;&#39064;\2023-2-9&#20856;&#22411;&#22478;&#24066;&#24211;&#23384;&#21387;&#21147;&#25506;&#26512;\&#24211;&#23384;0228&#20462;&#274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017-7-3\E&#30424;\&#39532;&#21315;&#37324;\11-&#23395;&#25253;&#24180;&#25253;&#21644;&#19987;&#39064;\2023-2-9&#20856;&#22411;&#22478;&#24066;&#24211;&#23384;&#21387;&#21147;&#25506;&#26512;\&#24211;&#23384;.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'1.1全国待售'!$V$4</c:f>
              <c:strCache>
                <c:ptCount val="1"/>
              </c:strCache>
            </c:strRef>
          </c:tx>
          <c:invertIfNegative val="0"/>
          <c:cat>
            <c:strRef>
              <c:f>'1.1全国待售'!$U$5:$U$14</c:f>
              <c:strCache>
                <c:ptCount val="10"/>
                <c:pt idx="0">
                  <c:v>2013年</c:v>
                </c:pt>
                <c:pt idx="1">
                  <c:v>2014年</c:v>
                </c:pt>
                <c:pt idx="2">
                  <c:v>2015年</c:v>
                </c:pt>
                <c:pt idx="3">
                  <c:v>2016年</c:v>
                </c:pt>
                <c:pt idx="4">
                  <c:v>2017年</c:v>
                </c:pt>
                <c:pt idx="5">
                  <c:v>2018年</c:v>
                </c:pt>
                <c:pt idx="6">
                  <c:v>2019年</c:v>
                </c:pt>
                <c:pt idx="7">
                  <c:v>2020年</c:v>
                </c:pt>
                <c:pt idx="8">
                  <c:v>2021年</c:v>
                </c:pt>
                <c:pt idx="9">
                  <c:v>2022年</c:v>
                </c:pt>
              </c:strCache>
            </c:strRef>
          </c:cat>
          <c:val>
            <c:numRef>
              <c:f>'1.1全国待售'!$V$5:$V$14</c:f>
              <c:numCache>
                <c:formatCode>General</c:formatCode>
                <c:ptCount val="10"/>
                <c:pt idx="0">
                  <c:v>3.2403</c:v>
                </c:pt>
                <c:pt idx="1">
                  <c:v>4.0683999999999996</c:v>
                </c:pt>
                <c:pt idx="2">
                  <c:v>4.5247999999999999</c:v>
                </c:pt>
                <c:pt idx="3">
                  <c:v>4.0256999999999996</c:v>
                </c:pt>
                <c:pt idx="4">
                  <c:v>3.0163000000000002</c:v>
                </c:pt>
                <c:pt idx="5">
                  <c:v>2.5091999999999999</c:v>
                </c:pt>
                <c:pt idx="6">
                  <c:v>2.2473000000000001</c:v>
                </c:pt>
                <c:pt idx="7">
                  <c:v>2.2378</c:v>
                </c:pt>
                <c:pt idx="8">
                  <c:v>2.2759999999999998</c:v>
                </c:pt>
                <c:pt idx="9">
                  <c:v>2.6947000000000001</c:v>
                </c:pt>
              </c:numCache>
            </c:numRef>
          </c:val>
          <c:extLst>
            <c:ext xmlns:c16="http://schemas.microsoft.com/office/drawing/2014/chart" uri="{C3380CC4-5D6E-409C-BE32-E72D297353CC}">
              <c16:uniqueId val="{00000000-6268-41BE-90C0-BE0661EBB508}"/>
            </c:ext>
          </c:extLst>
        </c:ser>
        <c:dLbls>
          <c:showLegendKey val="0"/>
          <c:showVal val="0"/>
          <c:showCatName val="0"/>
          <c:showSerName val="0"/>
          <c:showPercent val="0"/>
          <c:showBubbleSize val="0"/>
        </c:dLbls>
        <c:gapWidth val="150"/>
        <c:axId val="377386880"/>
        <c:axId val="377388416"/>
      </c:barChart>
      <c:catAx>
        <c:axId val="377386880"/>
        <c:scaling>
          <c:orientation val="minMax"/>
        </c:scaling>
        <c:delete val="0"/>
        <c:axPos val="b"/>
        <c:numFmt formatCode="General" sourceLinked="1"/>
        <c:majorTickMark val="out"/>
        <c:minorTickMark val="none"/>
        <c:tickLblPos val="nextTo"/>
        <c:crossAx val="377388416"/>
        <c:crosses val="autoZero"/>
        <c:auto val="1"/>
        <c:lblAlgn val="ctr"/>
        <c:lblOffset val="100"/>
        <c:noMultiLvlLbl val="0"/>
      </c:catAx>
      <c:valAx>
        <c:axId val="377388416"/>
        <c:scaling>
          <c:orientation val="minMax"/>
        </c:scaling>
        <c:delete val="0"/>
        <c:axPos val="l"/>
        <c:numFmt formatCode="General" sourceLinked="1"/>
        <c:majorTickMark val="out"/>
        <c:minorTickMark val="none"/>
        <c:tickLblPos val="nextTo"/>
        <c:crossAx val="37738688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'1.1全国待售'!$AA$4</c:f>
              <c:strCache>
                <c:ptCount val="1"/>
                <c:pt idx="0">
                  <c:v>竣工住宅未售率</c:v>
                </c:pt>
              </c:strCache>
            </c:strRef>
          </c:tx>
          <c:spPr>
            <a:ln>
              <a:solidFill>
                <a:srgbClr val="60A9B3"/>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'1.1全国待售'!$U$6:$U$14</c:f>
              <c:strCache>
                <c:ptCount val="9"/>
                <c:pt idx="0">
                  <c:v>2014年</c:v>
                </c:pt>
                <c:pt idx="1">
                  <c:v>2015年</c:v>
                </c:pt>
                <c:pt idx="2">
                  <c:v>2016年</c:v>
                </c:pt>
                <c:pt idx="3">
                  <c:v>2017年</c:v>
                </c:pt>
                <c:pt idx="4">
                  <c:v>2018年</c:v>
                </c:pt>
                <c:pt idx="5">
                  <c:v>2019年</c:v>
                </c:pt>
                <c:pt idx="6">
                  <c:v>2020年</c:v>
                </c:pt>
                <c:pt idx="7">
                  <c:v>2021年</c:v>
                </c:pt>
                <c:pt idx="8">
                  <c:v>2022年</c:v>
                </c:pt>
              </c:strCache>
            </c:strRef>
          </c:cat>
          <c:val>
            <c:numRef>
              <c:f>'1.1全国待售'!$AA$6:$AA$14</c:f>
              <c:numCache>
                <c:formatCode>0%</c:formatCode>
                <c:ptCount val="9"/>
                <c:pt idx="0">
                  <c:v>0.3956186271350467</c:v>
                </c:pt>
                <c:pt idx="1">
                  <c:v>0.41294416064765682</c:v>
                </c:pt>
                <c:pt idx="2">
                  <c:v>0.34903556390490376</c:v>
                </c:pt>
                <c:pt idx="3">
                  <c:v>0.29450121367199555</c:v>
                </c:pt>
                <c:pt idx="4">
                  <c:v>0.27468763136069785</c:v>
                </c:pt>
                <c:pt idx="5">
                  <c:v>0.22931856280540053</c:v>
                </c:pt>
                <c:pt idx="6">
                  <c:v>0.2373156255580523</c:v>
                </c:pt>
                <c:pt idx="7">
                  <c:v>0.22924693424199016</c:v>
                </c:pt>
                <c:pt idx="8">
                  <c:v>0.32237962559512634</c:v>
                </c:pt>
              </c:numCache>
            </c:numRef>
          </c:val>
          <c:smooth val="0"/>
          <c:extLst>
            <c:ext xmlns:c16="http://schemas.microsoft.com/office/drawing/2014/chart" uri="{C3380CC4-5D6E-409C-BE32-E72D297353CC}">
              <c16:uniqueId val="{00000000-9899-4B03-8DA8-35E8BC46995E}"/>
            </c:ext>
          </c:extLst>
        </c:ser>
        <c:dLbls>
          <c:showLegendKey val="0"/>
          <c:showVal val="0"/>
          <c:showCatName val="0"/>
          <c:showSerName val="0"/>
          <c:showPercent val="0"/>
          <c:showBubbleSize val="0"/>
        </c:dLbls>
        <c:smooth val="0"/>
        <c:axId val="377396608"/>
        <c:axId val="377414784"/>
      </c:lineChart>
      <c:catAx>
        <c:axId val="377396608"/>
        <c:scaling>
          <c:orientation val="minMax"/>
        </c:scaling>
        <c:delete val="0"/>
        <c:axPos val="b"/>
        <c:numFmt formatCode="General" sourceLinked="0"/>
        <c:majorTickMark val="out"/>
        <c:minorTickMark val="none"/>
        <c:tickLblPos val="nextTo"/>
        <c:crossAx val="377414784"/>
        <c:crosses val="autoZero"/>
        <c:auto val="1"/>
        <c:lblAlgn val="ctr"/>
        <c:lblOffset val="100"/>
        <c:noMultiLvlLbl val="0"/>
      </c:catAx>
      <c:valAx>
        <c:axId val="377414784"/>
        <c:scaling>
          <c:orientation val="minMax"/>
        </c:scaling>
        <c:delete val="1"/>
        <c:axPos val="l"/>
        <c:numFmt formatCode="0%" sourceLinked="1"/>
        <c:majorTickMark val="out"/>
        <c:minorTickMark val="none"/>
        <c:tickLblPos val="nextTo"/>
        <c:crossAx val="3773966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历年指数!$F$59</c:f>
              <c:strCache>
                <c:ptCount val="1"/>
                <c:pt idx="0">
                  <c:v>一线</c:v>
                </c:pt>
              </c:strCache>
            </c:strRef>
          </c:tx>
          <c:marker>
            <c:symbol val="none"/>
          </c:marker>
          <c:cat>
            <c:strRef>
              <c:f>历年指数!$G$53:$O$53</c:f>
              <c:strCache>
                <c:ptCount val="9"/>
                <c:pt idx="0">
                  <c:v>2014年末</c:v>
                </c:pt>
                <c:pt idx="1">
                  <c:v>2015年末</c:v>
                </c:pt>
                <c:pt idx="2">
                  <c:v>2016年末</c:v>
                </c:pt>
                <c:pt idx="3">
                  <c:v>2017年末</c:v>
                </c:pt>
                <c:pt idx="4">
                  <c:v>2018年末</c:v>
                </c:pt>
                <c:pt idx="5">
                  <c:v>2019年末</c:v>
                </c:pt>
                <c:pt idx="6">
                  <c:v>2020年末</c:v>
                </c:pt>
                <c:pt idx="7">
                  <c:v>2021年末</c:v>
                </c:pt>
                <c:pt idx="8">
                  <c:v>2022年末</c:v>
                </c:pt>
              </c:strCache>
            </c:strRef>
          </c:cat>
          <c:val>
            <c:numRef>
              <c:f>历年指数!$G$59:$O$59</c:f>
              <c:numCache>
                <c:formatCode>General</c:formatCode>
                <c:ptCount val="9"/>
                <c:pt idx="0">
                  <c:v>100</c:v>
                </c:pt>
                <c:pt idx="1">
                  <c:v>86.663870832459637</c:v>
                </c:pt>
                <c:pt idx="2">
                  <c:v>58.628643321451037</c:v>
                </c:pt>
                <c:pt idx="3">
                  <c:v>46.865170895365907</c:v>
                </c:pt>
                <c:pt idx="4">
                  <c:v>66.32417697630531</c:v>
                </c:pt>
                <c:pt idx="5">
                  <c:v>70.811490878590902</c:v>
                </c:pt>
                <c:pt idx="6">
                  <c:v>76.847976514992666</c:v>
                </c:pt>
                <c:pt idx="7">
                  <c:v>73.747116795973994</c:v>
                </c:pt>
                <c:pt idx="8">
                  <c:v>79.828056196267568</c:v>
                </c:pt>
              </c:numCache>
            </c:numRef>
          </c:val>
          <c:smooth val="0"/>
          <c:extLst>
            <c:ext xmlns:c16="http://schemas.microsoft.com/office/drawing/2014/chart" uri="{C3380CC4-5D6E-409C-BE32-E72D297353CC}">
              <c16:uniqueId val="{00000000-2841-40A3-B816-BC066EA73906}"/>
            </c:ext>
          </c:extLst>
        </c:ser>
        <c:ser>
          <c:idx val="1"/>
          <c:order val="1"/>
          <c:tx>
            <c:strRef>
              <c:f>历年指数!$F$60</c:f>
              <c:strCache>
                <c:ptCount val="1"/>
                <c:pt idx="0">
                  <c:v>二线</c:v>
                </c:pt>
              </c:strCache>
            </c:strRef>
          </c:tx>
          <c:marker>
            <c:symbol val="none"/>
          </c:marker>
          <c:cat>
            <c:strRef>
              <c:f>历年指数!$G$53:$O$53</c:f>
              <c:strCache>
                <c:ptCount val="9"/>
                <c:pt idx="0">
                  <c:v>2014年末</c:v>
                </c:pt>
                <c:pt idx="1">
                  <c:v>2015年末</c:v>
                </c:pt>
                <c:pt idx="2">
                  <c:v>2016年末</c:v>
                </c:pt>
                <c:pt idx="3">
                  <c:v>2017年末</c:v>
                </c:pt>
                <c:pt idx="4">
                  <c:v>2018年末</c:v>
                </c:pt>
                <c:pt idx="5">
                  <c:v>2019年末</c:v>
                </c:pt>
                <c:pt idx="6">
                  <c:v>2020年末</c:v>
                </c:pt>
                <c:pt idx="7">
                  <c:v>2021年末</c:v>
                </c:pt>
                <c:pt idx="8">
                  <c:v>2022年末</c:v>
                </c:pt>
              </c:strCache>
            </c:strRef>
          </c:cat>
          <c:val>
            <c:numRef>
              <c:f>历年指数!$G$60:$O$60</c:f>
              <c:numCache>
                <c:formatCode>General</c:formatCode>
                <c:ptCount val="9"/>
                <c:pt idx="0">
                  <c:v>100</c:v>
                </c:pt>
                <c:pt idx="1">
                  <c:v>94.48532346187848</c:v>
                </c:pt>
                <c:pt idx="2">
                  <c:v>70.11840464954436</c:v>
                </c:pt>
                <c:pt idx="3">
                  <c:v>57.177542796828781</c:v>
                </c:pt>
                <c:pt idx="4">
                  <c:v>67.028179849559905</c:v>
                </c:pt>
                <c:pt idx="5">
                  <c:v>75.102250108705903</c:v>
                </c:pt>
                <c:pt idx="6">
                  <c:v>88.58326332229025</c:v>
                </c:pt>
                <c:pt idx="7">
                  <c:v>85.268711255246586</c:v>
                </c:pt>
                <c:pt idx="8">
                  <c:v>82.512803921613184</c:v>
                </c:pt>
              </c:numCache>
            </c:numRef>
          </c:val>
          <c:smooth val="0"/>
          <c:extLst>
            <c:ext xmlns:c16="http://schemas.microsoft.com/office/drawing/2014/chart" uri="{C3380CC4-5D6E-409C-BE32-E72D297353CC}">
              <c16:uniqueId val="{00000001-2841-40A3-B816-BC066EA73906}"/>
            </c:ext>
          </c:extLst>
        </c:ser>
        <c:ser>
          <c:idx val="2"/>
          <c:order val="2"/>
          <c:tx>
            <c:strRef>
              <c:f>历年指数!$F$61</c:f>
              <c:strCache>
                <c:ptCount val="1"/>
                <c:pt idx="0">
                  <c:v>三四线</c:v>
                </c:pt>
              </c:strCache>
            </c:strRef>
          </c:tx>
          <c:marker>
            <c:symbol val="none"/>
          </c:marker>
          <c:cat>
            <c:strRef>
              <c:f>历年指数!$G$53:$O$53</c:f>
              <c:strCache>
                <c:ptCount val="9"/>
                <c:pt idx="0">
                  <c:v>2014年末</c:v>
                </c:pt>
                <c:pt idx="1">
                  <c:v>2015年末</c:v>
                </c:pt>
                <c:pt idx="2">
                  <c:v>2016年末</c:v>
                </c:pt>
                <c:pt idx="3">
                  <c:v>2017年末</c:v>
                </c:pt>
                <c:pt idx="4">
                  <c:v>2018年末</c:v>
                </c:pt>
                <c:pt idx="5">
                  <c:v>2019年末</c:v>
                </c:pt>
                <c:pt idx="6">
                  <c:v>2020年末</c:v>
                </c:pt>
                <c:pt idx="7">
                  <c:v>2021年末</c:v>
                </c:pt>
                <c:pt idx="8">
                  <c:v>2022年末</c:v>
                </c:pt>
              </c:strCache>
            </c:strRef>
          </c:cat>
          <c:val>
            <c:numRef>
              <c:f>历年指数!$G$61:$O$61</c:f>
              <c:numCache>
                <c:formatCode>General</c:formatCode>
                <c:ptCount val="9"/>
                <c:pt idx="0">
                  <c:v>100</c:v>
                </c:pt>
                <c:pt idx="1">
                  <c:v>101.99649305010827</c:v>
                </c:pt>
                <c:pt idx="2">
                  <c:v>79.444035353012623</c:v>
                </c:pt>
                <c:pt idx="3">
                  <c:v>77.867185097380727</c:v>
                </c:pt>
                <c:pt idx="4">
                  <c:v>81.786453679465211</c:v>
                </c:pt>
                <c:pt idx="5">
                  <c:v>83.956831182711838</c:v>
                </c:pt>
                <c:pt idx="6">
                  <c:v>89.986934446747412</c:v>
                </c:pt>
                <c:pt idx="7">
                  <c:v>96.748558434616825</c:v>
                </c:pt>
                <c:pt idx="8">
                  <c:v>90.4614343757207</c:v>
                </c:pt>
              </c:numCache>
            </c:numRef>
          </c:val>
          <c:smooth val="0"/>
          <c:extLst>
            <c:ext xmlns:c16="http://schemas.microsoft.com/office/drawing/2014/chart" uri="{C3380CC4-5D6E-409C-BE32-E72D297353CC}">
              <c16:uniqueId val="{00000002-2841-40A3-B816-BC066EA73906}"/>
            </c:ext>
          </c:extLst>
        </c:ser>
        <c:dLbls>
          <c:showLegendKey val="0"/>
          <c:showVal val="0"/>
          <c:showCatName val="0"/>
          <c:showSerName val="0"/>
          <c:showPercent val="0"/>
          <c:showBubbleSize val="0"/>
        </c:dLbls>
        <c:smooth val="0"/>
        <c:axId val="387791872"/>
        <c:axId val="387797760"/>
      </c:lineChart>
      <c:catAx>
        <c:axId val="387791872"/>
        <c:scaling>
          <c:orientation val="minMax"/>
        </c:scaling>
        <c:delete val="0"/>
        <c:axPos val="b"/>
        <c:numFmt formatCode="General" sourceLinked="0"/>
        <c:majorTickMark val="out"/>
        <c:minorTickMark val="none"/>
        <c:tickLblPos val="nextTo"/>
        <c:crossAx val="387797760"/>
        <c:crosses val="autoZero"/>
        <c:auto val="1"/>
        <c:lblAlgn val="ctr"/>
        <c:lblOffset val="100"/>
        <c:noMultiLvlLbl val="0"/>
      </c:catAx>
      <c:valAx>
        <c:axId val="387797760"/>
        <c:scaling>
          <c:orientation val="minMax"/>
        </c:scaling>
        <c:delete val="0"/>
        <c:axPos val="l"/>
        <c:majorGridlines/>
        <c:numFmt formatCode="General" sourceLinked="1"/>
        <c:majorTickMark val="out"/>
        <c:minorTickMark val="none"/>
        <c:tickLblPos val="nextTo"/>
        <c:crossAx val="38779187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历年指数!$F$59</c:f>
              <c:strCache>
                <c:ptCount val="1"/>
                <c:pt idx="0">
                  <c:v>一线</c:v>
                </c:pt>
              </c:strCache>
            </c:strRef>
          </c:tx>
          <c:marker>
            <c:symbol val="none"/>
          </c:marker>
          <c:cat>
            <c:strRef>
              <c:f>历年指数!$P$53:$X$53</c:f>
              <c:strCache>
                <c:ptCount val="9"/>
                <c:pt idx="0">
                  <c:v>2014年</c:v>
                </c:pt>
                <c:pt idx="1">
                  <c:v>2015年</c:v>
                </c:pt>
                <c:pt idx="2">
                  <c:v>2016年</c:v>
                </c:pt>
                <c:pt idx="3">
                  <c:v>2017年</c:v>
                </c:pt>
                <c:pt idx="4">
                  <c:v>2018年</c:v>
                </c:pt>
                <c:pt idx="5">
                  <c:v>2019年</c:v>
                </c:pt>
                <c:pt idx="6">
                  <c:v>2020年</c:v>
                </c:pt>
                <c:pt idx="7">
                  <c:v>2021年</c:v>
                </c:pt>
                <c:pt idx="8">
                  <c:v>2022年</c:v>
                </c:pt>
              </c:strCache>
            </c:strRef>
          </c:cat>
          <c:val>
            <c:numRef>
              <c:f>历年指数!$P$59:$X$59</c:f>
              <c:numCache>
                <c:formatCode>General</c:formatCode>
                <c:ptCount val="9"/>
                <c:pt idx="0">
                  <c:v>100</c:v>
                </c:pt>
                <c:pt idx="1">
                  <c:v>145.33333333333334</c:v>
                </c:pt>
                <c:pt idx="2">
                  <c:v>147.9</c:v>
                </c:pt>
                <c:pt idx="3">
                  <c:v>79.900000000000006</c:v>
                </c:pt>
                <c:pt idx="4">
                  <c:v>76.5</c:v>
                </c:pt>
                <c:pt idx="5">
                  <c:v>91.3</c:v>
                </c:pt>
                <c:pt idx="6">
                  <c:v>108.63333333333334</c:v>
                </c:pt>
                <c:pt idx="7">
                  <c:v>125.53333333333335</c:v>
                </c:pt>
                <c:pt idx="8">
                  <c:v>95.733333333333334</c:v>
                </c:pt>
              </c:numCache>
            </c:numRef>
          </c:val>
          <c:smooth val="0"/>
          <c:extLst>
            <c:ext xmlns:c16="http://schemas.microsoft.com/office/drawing/2014/chart" uri="{C3380CC4-5D6E-409C-BE32-E72D297353CC}">
              <c16:uniqueId val="{00000000-5F7B-406C-8D4D-185BB53F966E}"/>
            </c:ext>
          </c:extLst>
        </c:ser>
        <c:ser>
          <c:idx val="1"/>
          <c:order val="1"/>
          <c:tx>
            <c:strRef>
              <c:f>历年指数!$F$60</c:f>
              <c:strCache>
                <c:ptCount val="1"/>
                <c:pt idx="0">
                  <c:v>二线</c:v>
                </c:pt>
              </c:strCache>
            </c:strRef>
          </c:tx>
          <c:marker>
            <c:symbol val="none"/>
          </c:marker>
          <c:cat>
            <c:strRef>
              <c:f>历年指数!$P$53:$X$53</c:f>
              <c:strCache>
                <c:ptCount val="9"/>
                <c:pt idx="0">
                  <c:v>2014年</c:v>
                </c:pt>
                <c:pt idx="1">
                  <c:v>2015年</c:v>
                </c:pt>
                <c:pt idx="2">
                  <c:v>2016年</c:v>
                </c:pt>
                <c:pt idx="3">
                  <c:v>2017年</c:v>
                </c:pt>
                <c:pt idx="4">
                  <c:v>2018年</c:v>
                </c:pt>
                <c:pt idx="5">
                  <c:v>2019年</c:v>
                </c:pt>
                <c:pt idx="6">
                  <c:v>2020年</c:v>
                </c:pt>
                <c:pt idx="7">
                  <c:v>2021年</c:v>
                </c:pt>
                <c:pt idx="8">
                  <c:v>2022年</c:v>
                </c:pt>
              </c:strCache>
            </c:strRef>
          </c:cat>
          <c:val>
            <c:numRef>
              <c:f>历年指数!$P$60:$X$60</c:f>
              <c:numCache>
                <c:formatCode>General</c:formatCode>
                <c:ptCount val="9"/>
                <c:pt idx="0">
                  <c:v>100</c:v>
                </c:pt>
                <c:pt idx="1">
                  <c:v>124.45575629236205</c:v>
                </c:pt>
                <c:pt idx="2">
                  <c:v>160.76384553714115</c:v>
                </c:pt>
                <c:pt idx="3">
                  <c:v>127.44905319896954</c:v>
                </c:pt>
                <c:pt idx="4">
                  <c:v>123.48631117686064</c:v>
                </c:pt>
                <c:pt idx="5">
                  <c:v>130.89230213208381</c:v>
                </c:pt>
                <c:pt idx="6">
                  <c:v>124.75507697533254</c:v>
                </c:pt>
                <c:pt idx="7">
                  <c:v>127.27844135674384</c:v>
                </c:pt>
                <c:pt idx="8">
                  <c:v>75.595970623873441</c:v>
                </c:pt>
              </c:numCache>
            </c:numRef>
          </c:val>
          <c:smooth val="0"/>
          <c:extLst>
            <c:ext xmlns:c16="http://schemas.microsoft.com/office/drawing/2014/chart" uri="{C3380CC4-5D6E-409C-BE32-E72D297353CC}">
              <c16:uniqueId val="{00000001-5F7B-406C-8D4D-185BB53F966E}"/>
            </c:ext>
          </c:extLst>
        </c:ser>
        <c:ser>
          <c:idx val="2"/>
          <c:order val="2"/>
          <c:tx>
            <c:strRef>
              <c:f>历年指数!$F$61</c:f>
              <c:strCache>
                <c:ptCount val="1"/>
                <c:pt idx="0">
                  <c:v>三四线</c:v>
                </c:pt>
              </c:strCache>
            </c:strRef>
          </c:tx>
          <c:marker>
            <c:symbol val="none"/>
          </c:marker>
          <c:cat>
            <c:strRef>
              <c:f>历年指数!$P$53:$X$53</c:f>
              <c:strCache>
                <c:ptCount val="9"/>
                <c:pt idx="0">
                  <c:v>2014年</c:v>
                </c:pt>
                <c:pt idx="1">
                  <c:v>2015年</c:v>
                </c:pt>
                <c:pt idx="2">
                  <c:v>2016年</c:v>
                </c:pt>
                <c:pt idx="3">
                  <c:v>2017年</c:v>
                </c:pt>
                <c:pt idx="4">
                  <c:v>2018年</c:v>
                </c:pt>
                <c:pt idx="5">
                  <c:v>2019年</c:v>
                </c:pt>
                <c:pt idx="6">
                  <c:v>2020年</c:v>
                </c:pt>
                <c:pt idx="7">
                  <c:v>2021年</c:v>
                </c:pt>
                <c:pt idx="8">
                  <c:v>2022年</c:v>
                </c:pt>
              </c:strCache>
            </c:strRef>
          </c:cat>
          <c:val>
            <c:numRef>
              <c:f>历年指数!$P$61:$X$61</c:f>
              <c:numCache>
                <c:formatCode>General</c:formatCode>
                <c:ptCount val="9"/>
                <c:pt idx="0">
                  <c:v>100</c:v>
                </c:pt>
                <c:pt idx="1">
                  <c:v>119.67583648196751</c:v>
                </c:pt>
                <c:pt idx="2">
                  <c:v>156.75235177353298</c:v>
                </c:pt>
                <c:pt idx="3">
                  <c:v>131.02600848273673</c:v>
                </c:pt>
                <c:pt idx="4">
                  <c:v>130.12135657171115</c:v>
                </c:pt>
                <c:pt idx="5">
                  <c:v>133.41679313390338</c:v>
                </c:pt>
                <c:pt idx="6">
                  <c:v>126.28834160948237</c:v>
                </c:pt>
                <c:pt idx="7">
                  <c:v>124.50045702683876</c:v>
                </c:pt>
                <c:pt idx="8">
                  <c:v>70.758673831324074</c:v>
                </c:pt>
              </c:numCache>
            </c:numRef>
          </c:val>
          <c:smooth val="0"/>
          <c:extLst>
            <c:ext xmlns:c16="http://schemas.microsoft.com/office/drawing/2014/chart" uri="{C3380CC4-5D6E-409C-BE32-E72D297353CC}">
              <c16:uniqueId val="{00000002-5F7B-406C-8D4D-185BB53F966E}"/>
            </c:ext>
          </c:extLst>
        </c:ser>
        <c:dLbls>
          <c:showLegendKey val="0"/>
          <c:showVal val="0"/>
          <c:showCatName val="0"/>
          <c:showSerName val="0"/>
          <c:showPercent val="0"/>
          <c:showBubbleSize val="0"/>
        </c:dLbls>
        <c:smooth val="0"/>
        <c:axId val="387820544"/>
        <c:axId val="387830528"/>
      </c:lineChart>
      <c:catAx>
        <c:axId val="387820544"/>
        <c:scaling>
          <c:orientation val="minMax"/>
        </c:scaling>
        <c:delete val="0"/>
        <c:axPos val="b"/>
        <c:numFmt formatCode="General" sourceLinked="0"/>
        <c:majorTickMark val="out"/>
        <c:minorTickMark val="none"/>
        <c:tickLblPos val="nextTo"/>
        <c:crossAx val="387830528"/>
        <c:crosses val="autoZero"/>
        <c:auto val="1"/>
        <c:lblAlgn val="ctr"/>
        <c:lblOffset val="100"/>
        <c:noMultiLvlLbl val="0"/>
      </c:catAx>
      <c:valAx>
        <c:axId val="387830528"/>
        <c:scaling>
          <c:orientation val="minMax"/>
          <c:min val="70"/>
        </c:scaling>
        <c:delete val="0"/>
        <c:axPos val="l"/>
        <c:majorGridlines/>
        <c:numFmt formatCode="General" sourceLinked="1"/>
        <c:majorTickMark val="out"/>
        <c:minorTickMark val="none"/>
        <c:tickLblPos val="nextTo"/>
        <c:crossAx val="3878205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历年指数!$F$55</c:f>
              <c:strCache>
                <c:ptCount val="1"/>
                <c:pt idx="0">
                  <c:v>一线</c:v>
                </c:pt>
              </c:strCache>
            </c:strRef>
          </c:tx>
          <c:marker>
            <c:symbol val="none"/>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88-46D8-87BC-1C9189A454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历年指数!$Y$53:$AG$53</c:f>
              <c:strCache>
                <c:ptCount val="9"/>
                <c:pt idx="0">
                  <c:v>2014年</c:v>
                </c:pt>
                <c:pt idx="1">
                  <c:v>2015年</c:v>
                </c:pt>
                <c:pt idx="2">
                  <c:v>2016年</c:v>
                </c:pt>
                <c:pt idx="3">
                  <c:v>2017年</c:v>
                </c:pt>
                <c:pt idx="4">
                  <c:v>2018年</c:v>
                </c:pt>
                <c:pt idx="5">
                  <c:v>2019年</c:v>
                </c:pt>
                <c:pt idx="6">
                  <c:v>2020年</c:v>
                </c:pt>
                <c:pt idx="7">
                  <c:v>2021年</c:v>
                </c:pt>
                <c:pt idx="8">
                  <c:v>2022年</c:v>
                </c:pt>
              </c:strCache>
            </c:strRef>
          </c:cat>
          <c:val>
            <c:numRef>
              <c:f>历年指数!$Y$55:$AG$55</c:f>
              <c:numCache>
                <c:formatCode>0.0</c:formatCode>
                <c:ptCount val="9"/>
                <c:pt idx="0">
                  <c:v>19.076000000000001</c:v>
                </c:pt>
                <c:pt idx="1">
                  <c:v>11.375229357798165</c:v>
                </c:pt>
                <c:pt idx="2">
                  <c:v>7.5618661257606501</c:v>
                </c:pt>
                <c:pt idx="3">
                  <c:v>11.188986232790988</c:v>
                </c:pt>
                <c:pt idx="4">
                  <c:v>16.53856209150327</c:v>
                </c:pt>
                <c:pt idx="5">
                  <c:v>14.795180722891565</c:v>
                </c:pt>
                <c:pt idx="6">
                  <c:v>13.494495243939859</c:v>
                </c:pt>
                <c:pt idx="7">
                  <c:v>11.206585236325013</c:v>
                </c:pt>
                <c:pt idx="8">
                  <c:v>15.906685236768803</c:v>
                </c:pt>
              </c:numCache>
            </c:numRef>
          </c:val>
          <c:smooth val="0"/>
          <c:extLst>
            <c:ext xmlns:c16="http://schemas.microsoft.com/office/drawing/2014/chart" uri="{C3380CC4-5D6E-409C-BE32-E72D297353CC}">
              <c16:uniqueId val="{00000001-9888-46D8-87BC-1C9189A454BD}"/>
            </c:ext>
          </c:extLst>
        </c:ser>
        <c:ser>
          <c:idx val="1"/>
          <c:order val="1"/>
          <c:tx>
            <c:strRef>
              <c:f>历年指数!$F$56</c:f>
              <c:strCache>
                <c:ptCount val="1"/>
                <c:pt idx="0">
                  <c:v>二线</c:v>
                </c:pt>
              </c:strCache>
            </c:strRef>
          </c:tx>
          <c:marker>
            <c:symbol val="none"/>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88-46D8-87BC-1C9189A454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历年指数!$Y$53:$AG$53</c:f>
              <c:strCache>
                <c:ptCount val="9"/>
                <c:pt idx="0">
                  <c:v>2014年</c:v>
                </c:pt>
                <c:pt idx="1">
                  <c:v>2015年</c:v>
                </c:pt>
                <c:pt idx="2">
                  <c:v>2016年</c:v>
                </c:pt>
                <c:pt idx="3">
                  <c:v>2017年</c:v>
                </c:pt>
                <c:pt idx="4">
                  <c:v>2018年</c:v>
                </c:pt>
                <c:pt idx="5">
                  <c:v>2019年</c:v>
                </c:pt>
                <c:pt idx="6">
                  <c:v>2020年</c:v>
                </c:pt>
                <c:pt idx="7">
                  <c:v>2021年</c:v>
                </c:pt>
                <c:pt idx="8">
                  <c:v>2022年</c:v>
                </c:pt>
              </c:strCache>
            </c:strRef>
          </c:cat>
          <c:val>
            <c:numRef>
              <c:f>历年指数!$Y$56:$AG$56</c:f>
              <c:numCache>
                <c:formatCode>0.0</c:formatCode>
                <c:ptCount val="9"/>
                <c:pt idx="0">
                  <c:v>18.0451285352203</c:v>
                </c:pt>
                <c:pt idx="1">
                  <c:v>13.699646021644886</c:v>
                </c:pt>
                <c:pt idx="2">
                  <c:v>7.8705235020849047</c:v>
                </c:pt>
                <c:pt idx="3">
                  <c:v>8.0955965007135671</c:v>
                </c:pt>
                <c:pt idx="4">
                  <c:v>9.7948680249654956</c:v>
                </c:pt>
                <c:pt idx="5">
                  <c:v>10.353777375909353</c:v>
                </c:pt>
                <c:pt idx="6">
                  <c:v>12.813076721807956</c:v>
                </c:pt>
                <c:pt idx="7">
                  <c:v>12.089123957142041</c:v>
                </c:pt>
                <c:pt idx="8">
                  <c:v>19.696210529198805</c:v>
                </c:pt>
              </c:numCache>
            </c:numRef>
          </c:val>
          <c:smooth val="0"/>
          <c:extLst>
            <c:ext xmlns:c16="http://schemas.microsoft.com/office/drawing/2014/chart" uri="{C3380CC4-5D6E-409C-BE32-E72D297353CC}">
              <c16:uniqueId val="{00000003-9888-46D8-87BC-1C9189A454BD}"/>
            </c:ext>
          </c:extLst>
        </c:ser>
        <c:ser>
          <c:idx val="2"/>
          <c:order val="2"/>
          <c:tx>
            <c:strRef>
              <c:f>历年指数!$F$57</c:f>
              <c:strCache>
                <c:ptCount val="1"/>
                <c:pt idx="0">
                  <c:v>三四线</c:v>
                </c:pt>
              </c:strCache>
            </c:strRef>
          </c:tx>
          <c:marker>
            <c:symbol val="none"/>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88-46D8-87BC-1C9189A454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历年指数!$Y$53:$AG$53</c:f>
              <c:strCache>
                <c:ptCount val="9"/>
                <c:pt idx="0">
                  <c:v>2014年</c:v>
                </c:pt>
                <c:pt idx="1">
                  <c:v>2015年</c:v>
                </c:pt>
                <c:pt idx="2">
                  <c:v>2016年</c:v>
                </c:pt>
                <c:pt idx="3">
                  <c:v>2017年</c:v>
                </c:pt>
                <c:pt idx="4">
                  <c:v>2018年</c:v>
                </c:pt>
                <c:pt idx="5">
                  <c:v>2019年</c:v>
                </c:pt>
                <c:pt idx="6">
                  <c:v>2020年</c:v>
                </c:pt>
                <c:pt idx="7">
                  <c:v>2021年</c:v>
                </c:pt>
                <c:pt idx="8">
                  <c:v>2022年</c:v>
                </c:pt>
              </c:strCache>
            </c:strRef>
          </c:cat>
          <c:val>
            <c:numRef>
              <c:f>历年指数!$Y$57:$AG$57</c:f>
              <c:numCache>
                <c:formatCode>0.0</c:formatCode>
                <c:ptCount val="9"/>
                <c:pt idx="0">
                  <c:v>18.50342975007695</c:v>
                </c:pt>
                <c:pt idx="1">
                  <c:v>15.769974953893573</c:v>
                </c:pt>
                <c:pt idx="2">
                  <c:v>9.3777676097699239</c:v>
                </c:pt>
                <c:pt idx="3">
                  <c:v>10.996366339553543</c:v>
                </c:pt>
                <c:pt idx="4">
                  <c:v>11.630142353548983</c:v>
                </c:pt>
                <c:pt idx="5">
                  <c:v>11.643881488511145</c:v>
                </c:pt>
                <c:pt idx="6">
                  <c:v>13.184644748198586</c:v>
                </c:pt>
                <c:pt idx="7">
                  <c:v>14.378904280088186</c:v>
                </c:pt>
                <c:pt idx="8">
                  <c:v>23.655711807890768</c:v>
                </c:pt>
              </c:numCache>
            </c:numRef>
          </c:val>
          <c:smooth val="0"/>
          <c:extLst>
            <c:ext xmlns:c16="http://schemas.microsoft.com/office/drawing/2014/chart" uri="{C3380CC4-5D6E-409C-BE32-E72D297353CC}">
              <c16:uniqueId val="{00000005-9888-46D8-87BC-1C9189A454BD}"/>
            </c:ext>
          </c:extLst>
        </c:ser>
        <c:dLbls>
          <c:showLegendKey val="0"/>
          <c:showVal val="0"/>
          <c:showCatName val="0"/>
          <c:showSerName val="0"/>
          <c:showPercent val="0"/>
          <c:showBubbleSize val="0"/>
        </c:dLbls>
        <c:smooth val="0"/>
        <c:axId val="388392832"/>
        <c:axId val="388394368"/>
      </c:lineChart>
      <c:catAx>
        <c:axId val="388392832"/>
        <c:scaling>
          <c:orientation val="minMax"/>
        </c:scaling>
        <c:delete val="0"/>
        <c:axPos val="b"/>
        <c:numFmt formatCode="General" sourceLinked="0"/>
        <c:majorTickMark val="out"/>
        <c:minorTickMark val="none"/>
        <c:tickLblPos val="nextTo"/>
        <c:crossAx val="388394368"/>
        <c:crosses val="autoZero"/>
        <c:auto val="1"/>
        <c:lblAlgn val="ctr"/>
        <c:lblOffset val="100"/>
        <c:noMultiLvlLbl val="0"/>
      </c:catAx>
      <c:valAx>
        <c:axId val="388394368"/>
        <c:scaling>
          <c:orientation val="minMax"/>
        </c:scaling>
        <c:delete val="0"/>
        <c:axPos val="l"/>
        <c:majorGridlines/>
        <c:numFmt formatCode="0.0" sourceLinked="1"/>
        <c:majorTickMark val="out"/>
        <c:minorTickMark val="none"/>
        <c:tickLblPos val="nextTo"/>
        <c:crossAx val="3883928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广消折线!$B$4</c:f>
              <c:strCache>
                <c:ptCount val="1"/>
                <c:pt idx="0">
                  <c:v>一线</c:v>
                </c:pt>
              </c:strCache>
            </c:strRef>
          </c:tx>
          <c:marker>
            <c:symbol val="none"/>
          </c:marker>
          <c:dLbls>
            <c:dLbl>
              <c:idx val="3"/>
              <c:layout>
                <c:manualLayout>
                  <c:x val="0"/>
                  <c:y val="2.6743075453677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6-454E-89FD-291AD2C3B1F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广消折线!$C$3:$F$3</c:f>
              <c:strCache>
                <c:ptCount val="4"/>
                <c:pt idx="0">
                  <c:v>2019年</c:v>
                </c:pt>
                <c:pt idx="1">
                  <c:v>2020年</c:v>
                </c:pt>
                <c:pt idx="2">
                  <c:v>2021年</c:v>
                </c:pt>
                <c:pt idx="3">
                  <c:v>2022年</c:v>
                </c:pt>
              </c:strCache>
            </c:strRef>
          </c:cat>
          <c:val>
            <c:numRef>
              <c:f>广消折线!$C$4:$F$4</c:f>
              <c:numCache>
                <c:formatCode>0.0</c:formatCode>
                <c:ptCount val="4"/>
                <c:pt idx="0">
                  <c:v>4.64681529922398</c:v>
                </c:pt>
                <c:pt idx="1">
                  <c:v>4.030196907161895</c:v>
                </c:pt>
                <c:pt idx="2">
                  <c:v>3.6202601777003482</c:v>
                </c:pt>
                <c:pt idx="3">
                  <c:v>5.1031705907173777</c:v>
                </c:pt>
              </c:numCache>
            </c:numRef>
          </c:val>
          <c:smooth val="0"/>
          <c:extLst>
            <c:ext xmlns:c16="http://schemas.microsoft.com/office/drawing/2014/chart" uri="{C3380CC4-5D6E-409C-BE32-E72D297353CC}">
              <c16:uniqueId val="{00000001-9916-454E-89FD-291AD2C3B1FA}"/>
            </c:ext>
          </c:extLst>
        </c:ser>
        <c:ser>
          <c:idx val="1"/>
          <c:order val="1"/>
          <c:tx>
            <c:strRef>
              <c:f>广消折线!$B$5</c:f>
              <c:strCache>
                <c:ptCount val="1"/>
                <c:pt idx="0">
                  <c:v>二线</c:v>
                </c:pt>
              </c:strCache>
            </c:strRef>
          </c:tx>
          <c:marker>
            <c:symbol val="none"/>
          </c:marker>
          <c:dLbls>
            <c:dLbl>
              <c:idx val="3"/>
              <c:layout>
                <c:manualLayout>
                  <c:x val="0"/>
                  <c:y val="-1.5281757402101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16-454E-89FD-291AD2C3B1F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广消折线!$C$3:$F$3</c:f>
              <c:strCache>
                <c:ptCount val="4"/>
                <c:pt idx="0">
                  <c:v>2019年</c:v>
                </c:pt>
                <c:pt idx="1">
                  <c:v>2020年</c:v>
                </c:pt>
                <c:pt idx="2">
                  <c:v>2021年</c:v>
                </c:pt>
                <c:pt idx="3">
                  <c:v>2022年</c:v>
                </c:pt>
              </c:strCache>
            </c:strRef>
          </c:cat>
          <c:val>
            <c:numRef>
              <c:f>广消折线!$C$5:$F$5</c:f>
              <c:numCache>
                <c:formatCode>0.0</c:formatCode>
                <c:ptCount val="4"/>
                <c:pt idx="0">
                  <c:v>3.1417388808559981</c:v>
                </c:pt>
                <c:pt idx="1">
                  <c:v>3.189311920974657</c:v>
                </c:pt>
                <c:pt idx="2">
                  <c:v>3.0019569442195859</c:v>
                </c:pt>
                <c:pt idx="3">
                  <c:v>5.230445555532504</c:v>
                </c:pt>
              </c:numCache>
            </c:numRef>
          </c:val>
          <c:smooth val="0"/>
          <c:extLst>
            <c:ext xmlns:c16="http://schemas.microsoft.com/office/drawing/2014/chart" uri="{C3380CC4-5D6E-409C-BE32-E72D297353CC}">
              <c16:uniqueId val="{00000003-9916-454E-89FD-291AD2C3B1FA}"/>
            </c:ext>
          </c:extLst>
        </c:ser>
        <c:ser>
          <c:idx val="2"/>
          <c:order val="2"/>
          <c:tx>
            <c:strRef>
              <c:f>广消折线!$B$6</c:f>
              <c:strCache>
                <c:ptCount val="1"/>
                <c:pt idx="0">
                  <c:v>三四线</c:v>
                </c:pt>
              </c:strCache>
            </c:strRef>
          </c:tx>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16-454E-89FD-291AD2C3B1F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广消折线!$C$3:$F$3</c:f>
              <c:strCache>
                <c:ptCount val="4"/>
                <c:pt idx="0">
                  <c:v>2019年</c:v>
                </c:pt>
                <c:pt idx="1">
                  <c:v>2020年</c:v>
                </c:pt>
                <c:pt idx="2">
                  <c:v>2021年</c:v>
                </c:pt>
                <c:pt idx="3">
                  <c:v>2022年</c:v>
                </c:pt>
              </c:strCache>
            </c:strRef>
          </c:cat>
          <c:val>
            <c:numRef>
              <c:f>广消折线!$C$6:$F$6</c:f>
              <c:numCache>
                <c:formatCode>0.0</c:formatCode>
                <c:ptCount val="4"/>
                <c:pt idx="0">
                  <c:v>4.1582205657548483</c:v>
                </c:pt>
                <c:pt idx="1">
                  <c:v>4.3817500536971483</c:v>
                </c:pt>
                <c:pt idx="2">
                  <c:v>4.850864598090908</c:v>
                </c:pt>
                <c:pt idx="3">
                  <c:v>7.9867474633961866</c:v>
                </c:pt>
              </c:numCache>
            </c:numRef>
          </c:val>
          <c:smooth val="0"/>
          <c:extLst>
            <c:ext xmlns:c16="http://schemas.microsoft.com/office/drawing/2014/chart" uri="{C3380CC4-5D6E-409C-BE32-E72D297353CC}">
              <c16:uniqueId val="{00000005-9916-454E-89FD-291AD2C3B1FA}"/>
            </c:ext>
          </c:extLst>
        </c:ser>
        <c:ser>
          <c:idx val="3"/>
          <c:order val="3"/>
          <c:tx>
            <c:strRef>
              <c:f>广消折线!$B$7</c:f>
              <c:strCache>
                <c:ptCount val="1"/>
                <c:pt idx="0">
                  <c:v>合计</c:v>
                </c:pt>
              </c:strCache>
            </c:strRef>
          </c:tx>
          <c:spPr>
            <a:ln>
              <a:solidFill>
                <a:schemeClr val="bg1">
                  <a:lumMod val="75000"/>
                </a:schemeClr>
              </a:solidFill>
            </a:ln>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16-454E-89FD-291AD2C3B1F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广消折线!$C$3:$F$3</c:f>
              <c:strCache>
                <c:ptCount val="4"/>
                <c:pt idx="0">
                  <c:v>2019年</c:v>
                </c:pt>
                <c:pt idx="1">
                  <c:v>2020年</c:v>
                </c:pt>
                <c:pt idx="2">
                  <c:v>2021年</c:v>
                </c:pt>
                <c:pt idx="3">
                  <c:v>2022年</c:v>
                </c:pt>
              </c:strCache>
            </c:strRef>
          </c:cat>
          <c:val>
            <c:numRef>
              <c:f>广消折线!$C$7:$F$7</c:f>
              <c:numCache>
                <c:formatCode>0.0</c:formatCode>
                <c:ptCount val="4"/>
                <c:pt idx="0">
                  <c:v>3.604133013054668</c:v>
                </c:pt>
                <c:pt idx="1">
                  <c:v>3.656840974720581</c:v>
                </c:pt>
                <c:pt idx="2">
                  <c:v>3.6058234005192533</c:v>
                </c:pt>
                <c:pt idx="3">
                  <c:v>6.0061315468877403</c:v>
                </c:pt>
              </c:numCache>
            </c:numRef>
          </c:val>
          <c:smooth val="0"/>
          <c:extLst>
            <c:ext xmlns:c16="http://schemas.microsoft.com/office/drawing/2014/chart" uri="{C3380CC4-5D6E-409C-BE32-E72D297353CC}">
              <c16:uniqueId val="{00000007-9916-454E-89FD-291AD2C3B1FA}"/>
            </c:ext>
          </c:extLst>
        </c:ser>
        <c:dLbls>
          <c:showLegendKey val="0"/>
          <c:showVal val="0"/>
          <c:showCatName val="0"/>
          <c:showSerName val="0"/>
          <c:showPercent val="0"/>
          <c:showBubbleSize val="0"/>
        </c:dLbls>
        <c:smooth val="0"/>
        <c:axId val="389900928"/>
        <c:axId val="389910912"/>
      </c:lineChart>
      <c:catAx>
        <c:axId val="389900928"/>
        <c:scaling>
          <c:orientation val="minMax"/>
        </c:scaling>
        <c:delete val="0"/>
        <c:axPos val="b"/>
        <c:numFmt formatCode="General" sourceLinked="0"/>
        <c:majorTickMark val="out"/>
        <c:minorTickMark val="none"/>
        <c:tickLblPos val="nextTo"/>
        <c:crossAx val="389910912"/>
        <c:crosses val="autoZero"/>
        <c:auto val="1"/>
        <c:lblAlgn val="ctr"/>
        <c:lblOffset val="100"/>
        <c:noMultiLvlLbl val="0"/>
      </c:catAx>
      <c:valAx>
        <c:axId val="389910912"/>
        <c:scaling>
          <c:orientation val="minMax"/>
        </c:scaling>
        <c:delete val="0"/>
        <c:axPos val="l"/>
        <c:majorGridlines/>
        <c:numFmt formatCode="0.0" sourceLinked="1"/>
        <c:majorTickMark val="out"/>
        <c:minorTickMark val="none"/>
        <c:tickLblPos val="nextTo"/>
        <c:crossAx val="3899009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汇总表!$Z$2</c:f>
              <c:strCache>
                <c:ptCount val="1"/>
                <c:pt idx="0">
                  <c:v>70以下</c:v>
                </c:pt>
              </c:strCache>
            </c:strRef>
          </c:tx>
          <c:spPr>
            <a:solidFill>
              <a:schemeClr val="accent5">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汇总表!$Z$3:$Z$5</c:f>
              <c:numCache>
                <c:formatCode>0%</c:formatCode>
                <c:ptCount val="3"/>
                <c:pt idx="0">
                  <c:v>0.25566151409784099</c:v>
                </c:pt>
                <c:pt idx="1">
                  <c:v>0.203439226443275</c:v>
                </c:pt>
                <c:pt idx="2">
                  <c:v>0.13396838618656501</c:v>
                </c:pt>
              </c:numCache>
            </c:numRef>
          </c:val>
          <c:extLst>
            <c:ext xmlns:c16="http://schemas.microsoft.com/office/drawing/2014/chart" uri="{C3380CC4-5D6E-409C-BE32-E72D297353CC}">
              <c16:uniqueId val="{00000000-8F65-4873-9E5D-BD30AAF5D66A}"/>
            </c:ext>
          </c:extLst>
        </c:ser>
        <c:ser>
          <c:idx val="1"/>
          <c:order val="1"/>
          <c:tx>
            <c:strRef>
              <c:f>汇总表!$AA$2</c:f>
              <c:strCache>
                <c:ptCount val="1"/>
                <c:pt idx="0">
                  <c:v>70~80</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汇总表!$AA$3:$AA$5</c:f>
              <c:numCache>
                <c:formatCode>0%</c:formatCode>
                <c:ptCount val="3"/>
                <c:pt idx="0">
                  <c:v>7.6073260577684404E-2</c:v>
                </c:pt>
                <c:pt idx="1">
                  <c:v>3.3454260209591601E-2</c:v>
                </c:pt>
                <c:pt idx="2">
                  <c:v>4.4867825127508497E-2</c:v>
                </c:pt>
              </c:numCache>
            </c:numRef>
          </c:val>
          <c:extLst>
            <c:ext xmlns:c16="http://schemas.microsoft.com/office/drawing/2014/chart" uri="{C3380CC4-5D6E-409C-BE32-E72D297353CC}">
              <c16:uniqueId val="{00000001-8F65-4873-9E5D-BD30AAF5D66A}"/>
            </c:ext>
          </c:extLst>
        </c:ser>
        <c:ser>
          <c:idx val="2"/>
          <c:order val="2"/>
          <c:tx>
            <c:strRef>
              <c:f>汇总表!$AB$2</c:f>
              <c:strCache>
                <c:ptCount val="1"/>
                <c:pt idx="0">
                  <c:v>80~90</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汇总表!$AB$3:$AB$5</c:f>
              <c:numCache>
                <c:formatCode>0%</c:formatCode>
                <c:ptCount val="3"/>
                <c:pt idx="0">
                  <c:v>0.142314180466141</c:v>
                </c:pt>
                <c:pt idx="1">
                  <c:v>8.7490156462530902E-2</c:v>
                </c:pt>
                <c:pt idx="2">
                  <c:v>8.7895254439082707E-2</c:v>
                </c:pt>
              </c:numCache>
            </c:numRef>
          </c:val>
          <c:extLst>
            <c:ext xmlns:c16="http://schemas.microsoft.com/office/drawing/2014/chart" uri="{C3380CC4-5D6E-409C-BE32-E72D297353CC}">
              <c16:uniqueId val="{00000002-8F65-4873-9E5D-BD30AAF5D66A}"/>
            </c:ext>
          </c:extLst>
        </c:ser>
        <c:ser>
          <c:idx val="3"/>
          <c:order val="3"/>
          <c:tx>
            <c:strRef>
              <c:f>汇总表!$AC$2</c:f>
              <c:strCache>
                <c:ptCount val="1"/>
                <c:pt idx="0">
                  <c:v>90~100</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汇总表!$AC$3:$AC$5</c:f>
              <c:numCache>
                <c:formatCode>0%</c:formatCode>
                <c:ptCount val="3"/>
                <c:pt idx="0">
                  <c:v>0.15766516335594</c:v>
                </c:pt>
                <c:pt idx="1">
                  <c:v>9.75977179513694E-2</c:v>
                </c:pt>
                <c:pt idx="2">
                  <c:v>0.11040657701642199</c:v>
                </c:pt>
              </c:numCache>
            </c:numRef>
          </c:val>
          <c:extLst>
            <c:ext xmlns:c16="http://schemas.microsoft.com/office/drawing/2014/chart" uri="{C3380CC4-5D6E-409C-BE32-E72D297353CC}">
              <c16:uniqueId val="{00000003-8F65-4873-9E5D-BD30AAF5D66A}"/>
            </c:ext>
          </c:extLst>
        </c:ser>
        <c:ser>
          <c:idx val="4"/>
          <c:order val="4"/>
          <c:tx>
            <c:strRef>
              <c:f>汇总表!$AD$2</c:f>
              <c:strCache>
                <c:ptCount val="1"/>
                <c:pt idx="0">
                  <c:v>100~120</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汇总表!$AD$3:$AD$5</c:f>
              <c:numCache>
                <c:formatCode>0%</c:formatCode>
                <c:ptCount val="3"/>
                <c:pt idx="0">
                  <c:v>0.16041587771542701</c:v>
                </c:pt>
                <c:pt idx="1">
                  <c:v>0.21042989718666</c:v>
                </c:pt>
                <c:pt idx="2">
                  <c:v>0.24501441352647299</c:v>
                </c:pt>
              </c:numCache>
            </c:numRef>
          </c:val>
          <c:extLst>
            <c:ext xmlns:c16="http://schemas.microsoft.com/office/drawing/2014/chart" uri="{C3380CC4-5D6E-409C-BE32-E72D297353CC}">
              <c16:uniqueId val="{00000004-8F65-4873-9E5D-BD30AAF5D66A}"/>
            </c:ext>
          </c:extLst>
        </c:ser>
        <c:ser>
          <c:idx val="5"/>
          <c:order val="5"/>
          <c:tx>
            <c:strRef>
              <c:f>汇总表!$AE$2</c:f>
              <c:strCache>
                <c:ptCount val="1"/>
                <c:pt idx="0">
                  <c:v>120~140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汇总表!$AE$3:$AE$5</c:f>
              <c:numCache>
                <c:formatCode>0%</c:formatCode>
                <c:ptCount val="3"/>
                <c:pt idx="0">
                  <c:v>0.103783523255414</c:v>
                </c:pt>
                <c:pt idx="1">
                  <c:v>0.181814955568704</c:v>
                </c:pt>
                <c:pt idx="2">
                  <c:v>0.22404992836848001</c:v>
                </c:pt>
              </c:numCache>
            </c:numRef>
          </c:val>
          <c:extLst>
            <c:ext xmlns:c16="http://schemas.microsoft.com/office/drawing/2014/chart" uri="{C3380CC4-5D6E-409C-BE32-E72D297353CC}">
              <c16:uniqueId val="{00000005-8F65-4873-9E5D-BD30AAF5D66A}"/>
            </c:ext>
          </c:extLst>
        </c:ser>
        <c:ser>
          <c:idx val="6"/>
          <c:order val="6"/>
          <c:tx>
            <c:strRef>
              <c:f>汇总表!$AF$2</c:f>
              <c:strCache>
                <c:ptCount val="1"/>
                <c:pt idx="0">
                  <c:v>140~160</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汇总表!$AF$3:$AF$5</c:f>
              <c:numCache>
                <c:formatCode>0%</c:formatCode>
                <c:ptCount val="3"/>
                <c:pt idx="0">
                  <c:v>3.3783178985781703E-2</c:v>
                </c:pt>
                <c:pt idx="1">
                  <c:v>8.5297196817516296E-2</c:v>
                </c:pt>
                <c:pt idx="2">
                  <c:v>8.1936318815866702E-2</c:v>
                </c:pt>
              </c:numCache>
            </c:numRef>
          </c:val>
          <c:extLst>
            <c:ext xmlns:c16="http://schemas.microsoft.com/office/drawing/2014/chart" uri="{C3380CC4-5D6E-409C-BE32-E72D297353CC}">
              <c16:uniqueId val="{00000006-8F65-4873-9E5D-BD30AAF5D66A}"/>
            </c:ext>
          </c:extLst>
        </c:ser>
        <c:ser>
          <c:idx val="7"/>
          <c:order val="7"/>
          <c:tx>
            <c:strRef>
              <c:f>汇总表!$AG$2</c:f>
              <c:strCache>
                <c:ptCount val="1"/>
                <c:pt idx="0">
                  <c:v>160~180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汇总表!$AG$3:$AG$5</c:f>
              <c:numCache>
                <c:formatCode>0%</c:formatCode>
                <c:ptCount val="3"/>
                <c:pt idx="0">
                  <c:v>1.8848762350672999E-2</c:v>
                </c:pt>
                <c:pt idx="1">
                  <c:v>3.2510749112322497E-2</c:v>
                </c:pt>
                <c:pt idx="2">
                  <c:v>2.70190930163084E-2</c:v>
                </c:pt>
              </c:numCache>
            </c:numRef>
          </c:val>
          <c:extLst>
            <c:ext xmlns:c16="http://schemas.microsoft.com/office/drawing/2014/chart" uri="{C3380CC4-5D6E-409C-BE32-E72D297353CC}">
              <c16:uniqueId val="{00000007-8F65-4873-9E5D-BD30AAF5D66A}"/>
            </c:ext>
          </c:extLst>
        </c:ser>
        <c:ser>
          <c:idx val="8"/>
          <c:order val="8"/>
          <c:tx>
            <c:strRef>
              <c:f>汇总表!$AH$2</c:f>
              <c:strCache>
                <c:ptCount val="1"/>
                <c:pt idx="0">
                  <c:v>180以上</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汇总表!$Y$3:$Y$5</c:f>
              <c:strCache>
                <c:ptCount val="3"/>
                <c:pt idx="0">
                  <c:v>一线</c:v>
                </c:pt>
                <c:pt idx="1">
                  <c:v>二线</c:v>
                </c:pt>
                <c:pt idx="2">
                  <c:v>三四线</c:v>
                </c:pt>
              </c:strCache>
            </c:strRef>
          </c:cat>
          <c:val>
            <c:numRef>
              <c:f>汇总表!$AH$3:$AH$5</c:f>
              <c:numCache>
                <c:formatCode>0%</c:formatCode>
                <c:ptCount val="3"/>
                <c:pt idx="0">
                  <c:v>5.1454539195097598E-2</c:v>
                </c:pt>
                <c:pt idx="1">
                  <c:v>6.7965840248029596E-2</c:v>
                </c:pt>
                <c:pt idx="2">
                  <c:v>4.4842203503293702E-2</c:v>
                </c:pt>
              </c:numCache>
            </c:numRef>
          </c:val>
          <c:extLst>
            <c:ext xmlns:c16="http://schemas.microsoft.com/office/drawing/2014/chart" uri="{C3380CC4-5D6E-409C-BE32-E72D297353CC}">
              <c16:uniqueId val="{00000008-8F65-4873-9E5D-BD30AAF5D66A}"/>
            </c:ext>
          </c:extLst>
        </c:ser>
        <c:dLbls>
          <c:showLegendKey val="0"/>
          <c:showVal val="1"/>
          <c:showCatName val="0"/>
          <c:showSerName val="0"/>
          <c:showPercent val="0"/>
          <c:showBubbleSize val="0"/>
        </c:dLbls>
        <c:gapWidth val="219"/>
        <c:overlap val="100"/>
        <c:axId val="391558656"/>
        <c:axId val="391560192"/>
      </c:barChart>
      <c:catAx>
        <c:axId val="39155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91560192"/>
        <c:crosses val="autoZero"/>
        <c:auto val="1"/>
        <c:lblAlgn val="ctr"/>
        <c:lblOffset val="100"/>
        <c:noMultiLvlLbl val="0"/>
      </c:catAx>
      <c:valAx>
        <c:axId val="3915601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91558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657915-36FC-4A95-9A05-6AA4B2E56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2552</Words>
  <Characters>14552</Characters>
  <Application>Microsoft Office Word</Application>
  <DocSecurity>0</DocSecurity>
  <Lines>121</Lines>
  <Paragraphs>34</Paragraphs>
  <ScaleCrop>false</ScaleCrop>
  <Company>WwW.YlmF.CoM</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70127</dc:creator>
  <cp:lastModifiedBy>admin</cp:lastModifiedBy>
  <cp:revision>2</cp:revision>
  <cp:lastPrinted>2023-03-03T07:08:00Z</cp:lastPrinted>
  <dcterms:created xsi:type="dcterms:W3CDTF">2023-03-06T06:49:00Z</dcterms:created>
  <dcterms:modified xsi:type="dcterms:W3CDTF">2023-03-06T06:49:00Z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